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9" w:rsidRPr="00A87329" w:rsidRDefault="00A87329" w:rsidP="00A87329">
      <w:pPr>
        <w:pBdr>
          <w:bottom w:val="single" w:sz="4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A8732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 НЕЛЕГАЛЬНОЙ ФИНАНСОВОЙ ДЕЯТЕЛЬНОСТИ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нелегальной деятельности субъектов на финансовом рынке относится: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деятельность компаний, не имеющих лицензии Банка России, если для данной деятельности лицензия обязательна, либо не включенных в соответствующие государственные реестры;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деятельность финансовых организаций, исключенных из государственных реестров;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деятельность зарубежных компаний, оказывающих финансовые услуги на российском рынке, подлежащая лицензированию;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деятельность мошеннических организаций, действующих под видом оказания услуг на финансовом рынке.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Критерии отнесения субъектов к субъектам нелегальной деятельности</w:t>
      </w:r>
    </w:p>
    <w:p w:rsidR="00A87329" w:rsidRPr="00A87329" w:rsidRDefault="00A87329" w:rsidP="00A87329">
      <w:pPr>
        <w:shd w:val="clear" w:color="auto" w:fill="FFFFFF"/>
        <w:spacing w:line="22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1742"/>
        <w:gridCol w:w="6095"/>
      </w:tblGrid>
      <w:tr w:rsidR="00A87329" w:rsidRPr="00A87329" w:rsidTr="00A87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(содержание)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Наиболее часто встречающиеся примеры</w:t>
            </w:r>
          </w:p>
        </w:tc>
      </w:tr>
      <w:tr w:rsidR="00A87329" w:rsidRPr="00A87329" w:rsidTr="00A8732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Виды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займов (кредитов)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займов индивидуальными предпринимателями и организациями (</w:t>
            </w:r>
            <w:proofErr w:type="spell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микрофинансовыми</w:t>
            </w:r>
            <w:proofErr w:type="spellEnd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организациями, </w:t>
            </w:r>
            <w:proofErr w:type="spell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микрокредитными</w:t>
            </w:r>
            <w:proofErr w:type="spellEnd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компаниями, ломбардами), не включенными в реестр Банка России</w:t>
            </w:r>
          </w:p>
        </w:tc>
      </w:tr>
      <w:tr w:rsidR="00A87329" w:rsidRPr="00A87329" w:rsidTr="00A873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займов у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Потребительские и кредитные потребительские кооперативы, не включенные в реестр Банка России</w:t>
            </w:r>
            <w:r w:rsidRPr="00A87329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eastAsia="ru-RU"/>
              </w:rPr>
              <w:t>[1]</w:t>
            </w:r>
          </w:p>
        </w:tc>
      </w:tr>
      <w:tr w:rsidR="00A87329" w:rsidRPr="00A87329" w:rsidTr="00A873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ОСАГО по тарифу ниже базового</w:t>
            </w:r>
          </w:p>
        </w:tc>
      </w:tr>
      <w:tr w:rsidR="00A87329" w:rsidRPr="00A87329" w:rsidTr="00A873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ценными бумагами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Трейдбоксы</w:t>
            </w:r>
            <w:proofErr w:type="spellEnd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торговле опционами/векселями</w:t>
            </w:r>
          </w:p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Обучение работе на рынке ценных бумаг</w:t>
            </w:r>
          </w:p>
        </w:tc>
      </w:tr>
      <w:tr w:rsidR="00A87329" w:rsidRPr="00A87329" w:rsidTr="00A873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на рынке </w:t>
            </w:r>
            <w:proofErr w:type="spell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Образовательные центры, взимающие плату за обучение торговле на рынке </w:t>
            </w:r>
            <w:proofErr w:type="spell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</w:p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Работодатели, предлагающие работу на рынке </w:t>
            </w:r>
            <w:proofErr w:type="spell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  <w:r w:rsidRPr="00A87329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eastAsia="ru-RU"/>
              </w:rPr>
              <w:t>[2]</w:t>
            </w:r>
          </w:p>
        </w:tc>
      </w:tr>
      <w:tr w:rsidR="00A87329" w:rsidRPr="00A87329" w:rsidTr="00A873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Реклама, содержащая предложения о размещении вкладов, выпуске платежных карт</w:t>
            </w:r>
          </w:p>
        </w:tc>
      </w:tr>
      <w:tr w:rsidR="00A87329" w:rsidRPr="00A87329" w:rsidTr="00A8732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пирамиды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средств населения по сетевому принципу (MLM бизнес), не предполагающее поставку товара</w:t>
            </w:r>
          </w:p>
        </w:tc>
      </w:tr>
      <w:tr w:rsidR="00A87329" w:rsidRPr="00A87329" w:rsidTr="00A873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Отсутствие лицензии Банка России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7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оказывающая услуги, приведенные в пункте 1, не имеет (не имела) на момент оказания услуги) лицензии Банка России или не была включена в реестр Банка России</w:t>
            </w:r>
            <w:proofErr w:type="gramEnd"/>
          </w:p>
        </w:tc>
      </w:tr>
    </w:tbl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Примечания: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критерии 1 и 2 должны выполняться одновременно;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перечень критериев может применяться к юридическим лицам, индивидуальным предпринимателям, физическим лицам.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pict>
          <v:rect id="_x0000_i1025" style="width:154.35pt;height:0" o:hrpct="330" o:hrstd="t" o:hr="t" fillcolor="#a0a0a0" stroked="f"/>
        </w:pic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0"/>
          <w:szCs w:val="10"/>
          <w:vertAlign w:val="superscript"/>
          <w:lang w:eastAsia="ru-RU"/>
        </w:rPr>
        <w:t>[1]</w:t>
      </w: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Источник информации - официальный сайт Банка России (</w:t>
      </w:r>
      <w:hyperlink r:id="rId4" w:history="1">
        <w:r w:rsidRPr="00A87329">
          <w:rPr>
            <w:rFonts w:ascii="Arial" w:eastAsia="Times New Roman" w:hAnsi="Arial" w:cs="Arial"/>
            <w:color w:val="008ACF"/>
            <w:sz w:val="18"/>
            <w:lang w:eastAsia="ru-RU"/>
          </w:rPr>
          <w:t>www.cbr.ru/Финансовые рынки/Надзор за участками/</w:t>
        </w:r>
        <w:proofErr w:type="spellStart"/>
        <w:r w:rsidRPr="00A87329">
          <w:rPr>
            <w:rFonts w:ascii="Arial" w:eastAsia="Times New Roman" w:hAnsi="Arial" w:cs="Arial"/>
            <w:color w:val="008ACF"/>
            <w:sz w:val="18"/>
            <w:lang w:eastAsia="ru-RU"/>
          </w:rPr>
          <w:t>Микрофинансирование</w:t>
        </w:r>
        <w:proofErr w:type="spellEnd"/>
      </w:hyperlink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A87329" w:rsidRPr="00A87329" w:rsidRDefault="00A87329" w:rsidP="00A8732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A87329" w:rsidRPr="00A87329" w:rsidRDefault="00A87329" w:rsidP="00A87329">
      <w:pPr>
        <w:shd w:val="clear" w:color="auto" w:fill="FFFFFF"/>
        <w:spacing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7329">
        <w:rPr>
          <w:rFonts w:ascii="Arial" w:eastAsia="Times New Roman" w:hAnsi="Arial" w:cs="Arial"/>
          <w:color w:val="000000"/>
          <w:sz w:val="10"/>
          <w:szCs w:val="10"/>
          <w:vertAlign w:val="superscript"/>
          <w:lang w:eastAsia="ru-RU"/>
        </w:rPr>
        <w:t>[2]</w:t>
      </w:r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исключением лиц, внесенных в реестры субъектов рынка ценных бумаг и товарного рынка, профессиональных участников рынка ценных бумаг (</w:t>
      </w:r>
      <w:hyperlink r:id="rId5" w:history="1">
        <w:r w:rsidRPr="00A87329">
          <w:rPr>
            <w:rFonts w:ascii="Arial" w:eastAsia="Times New Roman" w:hAnsi="Arial" w:cs="Arial"/>
            <w:color w:val="008ACF"/>
            <w:sz w:val="18"/>
            <w:lang w:eastAsia="ru-RU"/>
          </w:rPr>
          <w:t>www.cbr.ru/Финансовые рынки/Надзор за участками/Рынок ценных бумаг и товарный рынок</w:t>
        </w:r>
      </w:hyperlink>
      <w:r w:rsidRPr="00A873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3E11E1" w:rsidRDefault="003E11E1"/>
    <w:sectPr w:rsidR="003E11E1" w:rsidSect="003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29"/>
    <w:rsid w:val="003E11E1"/>
    <w:rsid w:val="00A87329"/>
    <w:rsid w:val="00D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1"/>
  </w:style>
  <w:style w:type="paragraph" w:styleId="1">
    <w:name w:val="heading 1"/>
    <w:basedOn w:val="a"/>
    <w:link w:val="10"/>
    <w:uiPriority w:val="9"/>
    <w:qFormat/>
    <w:rsid w:val="00A87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%D0%A4%D0%B8%D0%BD%D0%B0%D0%BD%D1%81%D0%BE%D0%B2%D1%8B%D0%B5%20%D1%80%D1%8B%D0%BD%D0%BA%D0%B8/%D0%9D%D0%B0%D0%B4%D0%B7%D0%BE%D1%80%20%D0%B7%D0%B0%20%D1%83%D1%87%D0%B0%D1%81%D1%82%D0%BA%D0%B0%D0%BC%D0%B8/%D0%A0%D1%8B%D0%BD%D0%BE%D0%BA%20%D1%86%D0%B5%D0%BD%D0%BD%D1%8B%D1%85%20%D0%B1%D1%83%D0%BC%D0%B0%D0%B3%20%D0%B8%20%D1%82%D0%BE%D0%B2%D0%B0%D1%80%D0%BD%D1%8B%D0%B9%20%D1%80%D1%8B%D0%BD%D0%BE%D0%BA" TargetMode="External"/><Relationship Id="rId4" Type="http://schemas.openxmlformats.org/officeDocument/2006/relationships/hyperlink" Target="http://www.cbr.ru/%D0%A4%D0%B8%D0%BD%D0%B0%D0%BD%D1%81%D0%BE%D0%B2%D1%8B%D0%B5%D1%80%D1%8B%D0%BD%D0%BA%D0%B8/%D0%9D%D0%B0%D0%B4%D0%B7%D0%BE%D1%80%20%D0%B7%D0%B0%20%D1%83%D1%87%D0%B0%D1%81%D1%82%D0%BA%D0%B0%D0%BC%D0%B8/%D0%9C%D0%B8%D0%BA%D1%80%D0%BE%D1%84%D0%B8%D0%BD%D0%B0%D0%BD%D1%81%D0%B8%D1%80%D0%BE%D0%B2%D0%B0%D0%BD%D0%B8%D0%B5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2023-05-10T07:17:00Z</dcterms:created>
  <dcterms:modified xsi:type="dcterms:W3CDTF">2023-05-10T07:17:00Z</dcterms:modified>
</cp:coreProperties>
</file>