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4E760E"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E760E"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F44F64">
                    <w:rPr>
                      <w:rFonts w:ascii="Arial" w:hAnsi="Arial" w:cs="Arial"/>
                      <w:i/>
                      <w:iCs/>
                      <w:sz w:val="16"/>
                      <w:szCs w:val="16"/>
                    </w:rPr>
                    <w:t>ыпуск № 30(672)       5  мая</w:t>
                  </w:r>
                  <w:r>
                    <w:rPr>
                      <w:rFonts w:ascii="Arial" w:hAnsi="Arial" w:cs="Arial"/>
                      <w:i/>
                      <w:iCs/>
                      <w:sz w:val="16"/>
                      <w:szCs w:val="16"/>
                    </w:rPr>
                    <w:t xml:space="preserve">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4E760E"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4E760E"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F44F64" w:rsidRPr="00F44F64" w:rsidRDefault="00F44F64" w:rsidP="00F44F64">
                  <w:pPr>
                    <w:spacing w:line="259" w:lineRule="auto"/>
                    <w:ind w:right="21"/>
                    <w:jc w:val="center"/>
                    <w:rPr>
                      <w:rFonts w:eastAsia="Calibri"/>
                      <w:b/>
                      <w:kern w:val="1"/>
                      <w:sz w:val="20"/>
                      <w:szCs w:val="18"/>
                      <w:lang w:eastAsia="en-US"/>
                    </w:rPr>
                  </w:pPr>
                  <w:r w:rsidRPr="00F44F64">
                    <w:rPr>
                      <w:rFonts w:eastAsia="Calibri"/>
                      <w:b/>
                      <w:kern w:val="1"/>
                      <w:sz w:val="20"/>
                      <w:szCs w:val="18"/>
                      <w:lang w:eastAsia="en-US"/>
                    </w:rPr>
                    <w:t>Соглашение</w:t>
                  </w:r>
                </w:p>
                <w:p w:rsidR="00F44F64" w:rsidRPr="00F44F64" w:rsidRDefault="00F44F64" w:rsidP="00F44F64">
                  <w:pPr>
                    <w:spacing w:line="259" w:lineRule="auto"/>
                    <w:ind w:right="21"/>
                    <w:jc w:val="center"/>
                    <w:rPr>
                      <w:rFonts w:eastAsia="Calibri"/>
                      <w:b/>
                      <w:kern w:val="1"/>
                      <w:sz w:val="20"/>
                      <w:szCs w:val="18"/>
                      <w:lang w:eastAsia="en-US"/>
                    </w:rPr>
                  </w:pPr>
                  <w:r w:rsidRPr="00F44F64">
                    <w:rPr>
                      <w:rFonts w:eastAsia="Calibri"/>
                      <w:b/>
                      <w:kern w:val="1"/>
                      <w:sz w:val="20"/>
                      <w:szCs w:val="18"/>
                      <w:lang w:eastAsia="en-US"/>
                    </w:rPr>
                    <w:t>о предоставлении иных межбюджетных трансфертов бюджету</w:t>
                  </w:r>
                </w:p>
                <w:p w:rsidR="00F44F64" w:rsidRPr="00F44F64" w:rsidRDefault="00F44F64" w:rsidP="00F44F64">
                  <w:pPr>
                    <w:spacing w:line="259" w:lineRule="auto"/>
                    <w:ind w:right="21"/>
                    <w:jc w:val="center"/>
                    <w:rPr>
                      <w:rFonts w:eastAsia="Calibri"/>
                      <w:b/>
                      <w:kern w:val="1"/>
                      <w:sz w:val="20"/>
                      <w:szCs w:val="18"/>
                      <w:lang w:eastAsia="en-US"/>
                    </w:rPr>
                  </w:pPr>
                  <w:r w:rsidRPr="00F44F64">
                    <w:rPr>
                      <w:rFonts w:eastAsia="Calibri"/>
                      <w:b/>
                      <w:kern w:val="1"/>
                      <w:sz w:val="20"/>
                      <w:szCs w:val="18"/>
                      <w:lang w:eastAsia="en-US"/>
                    </w:rPr>
                    <w:t>городского поселения Агириш</w:t>
                  </w:r>
                </w:p>
                <w:p w:rsidR="00F44F64" w:rsidRPr="00F44F64" w:rsidRDefault="00F44F64" w:rsidP="00F44F64">
                  <w:pPr>
                    <w:spacing w:line="259" w:lineRule="auto"/>
                    <w:ind w:right="21"/>
                    <w:rPr>
                      <w:rFonts w:eastAsia="Calibri"/>
                      <w:b/>
                      <w:kern w:val="1"/>
                      <w:sz w:val="18"/>
                      <w:szCs w:val="18"/>
                      <w:lang w:eastAsia="en-US"/>
                    </w:rPr>
                  </w:pPr>
                </w:p>
                <w:p w:rsidR="00F44F64" w:rsidRPr="00F44F64" w:rsidRDefault="00F44F64" w:rsidP="00F44F64">
                  <w:pPr>
                    <w:spacing w:line="259" w:lineRule="auto"/>
                    <w:ind w:right="21"/>
                    <w:rPr>
                      <w:rFonts w:eastAsia="Calibri"/>
                      <w:kern w:val="1"/>
                      <w:sz w:val="18"/>
                      <w:szCs w:val="18"/>
                      <w:lang w:eastAsia="en-US"/>
                    </w:rPr>
                  </w:pPr>
                  <w:r w:rsidRPr="00F44F64">
                    <w:rPr>
                      <w:rFonts w:eastAsia="Calibri"/>
                      <w:kern w:val="1"/>
                      <w:sz w:val="18"/>
                      <w:szCs w:val="18"/>
                      <w:lang w:eastAsia="en-US"/>
                    </w:rPr>
                    <w:t xml:space="preserve">г. Советский  </w:t>
                  </w:r>
                  <w:r w:rsidRPr="00F44F64">
                    <w:rPr>
                      <w:rFonts w:eastAsia="Calibri"/>
                      <w:kern w:val="1"/>
                      <w:sz w:val="18"/>
                      <w:szCs w:val="18"/>
                      <w:lang w:eastAsia="en-US"/>
                    </w:rPr>
                    <w:tab/>
                  </w:r>
                  <w:r w:rsidRPr="00F44F64">
                    <w:rPr>
                      <w:rFonts w:eastAsia="Calibri"/>
                      <w:kern w:val="1"/>
                      <w:sz w:val="18"/>
                      <w:szCs w:val="18"/>
                      <w:lang w:eastAsia="en-US"/>
                    </w:rPr>
                    <w:tab/>
                  </w:r>
                  <w:r w:rsidRPr="00F44F64">
                    <w:rPr>
                      <w:rFonts w:eastAsia="Calibri"/>
                      <w:kern w:val="1"/>
                      <w:sz w:val="18"/>
                      <w:szCs w:val="18"/>
                      <w:lang w:eastAsia="en-US"/>
                    </w:rPr>
                    <w:tab/>
                  </w:r>
                  <w:r w:rsidRPr="00F44F64">
                    <w:rPr>
                      <w:rFonts w:eastAsia="Calibri"/>
                      <w:kern w:val="1"/>
                      <w:sz w:val="18"/>
                      <w:szCs w:val="18"/>
                      <w:lang w:eastAsia="en-US"/>
                    </w:rPr>
                    <w:tab/>
                  </w:r>
                  <w:r w:rsidRPr="00F44F64">
                    <w:rPr>
                      <w:rFonts w:eastAsia="Calibri"/>
                      <w:kern w:val="1"/>
                      <w:sz w:val="18"/>
                      <w:szCs w:val="18"/>
                      <w:lang w:eastAsia="en-US"/>
                    </w:rPr>
                    <w:tab/>
                  </w:r>
                  <w:r w:rsidRPr="00F44F64">
                    <w:rPr>
                      <w:rFonts w:eastAsia="Calibri"/>
                      <w:kern w:val="1"/>
                      <w:sz w:val="18"/>
                      <w:szCs w:val="18"/>
                      <w:lang w:eastAsia="en-US"/>
                    </w:rPr>
                    <w:tab/>
                  </w:r>
                  <w:r w:rsidRPr="00F44F64">
                    <w:rPr>
                      <w:rFonts w:eastAsia="Calibri"/>
                      <w:kern w:val="1"/>
                      <w:sz w:val="18"/>
                      <w:szCs w:val="18"/>
                      <w:lang w:eastAsia="en-US"/>
                    </w:rPr>
                    <w:tab/>
                  </w:r>
                  <w:r w:rsidRPr="00F44F64">
                    <w:rPr>
                      <w:rFonts w:eastAsia="Calibri"/>
                      <w:kern w:val="1"/>
                      <w:sz w:val="18"/>
                      <w:szCs w:val="18"/>
                      <w:lang w:eastAsia="en-US"/>
                    </w:rPr>
                    <w:tab/>
                    <w:t>05 мая 2022 г.</w:t>
                  </w:r>
                </w:p>
                <w:p w:rsidR="00F44F64" w:rsidRPr="00F44F64" w:rsidRDefault="00F44F64" w:rsidP="00F44F64">
                  <w:pPr>
                    <w:spacing w:line="259" w:lineRule="auto"/>
                    <w:ind w:right="21"/>
                    <w:rPr>
                      <w:rFonts w:eastAsia="Calibri"/>
                      <w:kern w:val="1"/>
                      <w:sz w:val="18"/>
                      <w:szCs w:val="18"/>
                      <w:lang w:eastAsia="en-US"/>
                    </w:rPr>
                  </w:pPr>
                </w:p>
                <w:p w:rsidR="00F44F64" w:rsidRPr="00F44F64" w:rsidRDefault="00F44F64" w:rsidP="00F44F64">
                  <w:pPr>
                    <w:spacing w:line="259" w:lineRule="auto"/>
                    <w:ind w:right="21"/>
                    <w:rPr>
                      <w:rFonts w:eastAsia="Calibri"/>
                      <w:kern w:val="1"/>
                      <w:sz w:val="18"/>
                      <w:szCs w:val="18"/>
                      <w:lang w:eastAsia="en-US"/>
                    </w:rPr>
                  </w:pPr>
                </w:p>
                <w:p w:rsidR="00F44F64" w:rsidRPr="00F44F64" w:rsidRDefault="00F44F64" w:rsidP="00F44F64">
                  <w:pPr>
                    <w:spacing w:line="259" w:lineRule="auto"/>
                    <w:ind w:right="21"/>
                    <w:rPr>
                      <w:rFonts w:eastAsia="Calibri"/>
                      <w:bCs/>
                      <w:kern w:val="1"/>
                      <w:sz w:val="18"/>
                      <w:szCs w:val="18"/>
                      <w:lang w:eastAsia="en-US"/>
                    </w:rPr>
                  </w:pPr>
                  <w:proofErr w:type="gramStart"/>
                  <w:r w:rsidRPr="00F44F64">
                    <w:rPr>
                      <w:rFonts w:eastAsia="Calibri"/>
                      <w:kern w:val="1"/>
                      <w:sz w:val="18"/>
                      <w:szCs w:val="18"/>
                      <w:lang w:eastAsia="en-US"/>
                    </w:rPr>
                    <w:t xml:space="preserve">Администрация Советского района, именуемая далее - Администрация района, </w:t>
                  </w:r>
                  <w:r w:rsidRPr="00F44F64">
                    <w:rPr>
                      <w:rFonts w:eastAsia="Calibri"/>
                      <w:bCs/>
                      <w:kern w:val="1"/>
                      <w:sz w:val="18"/>
                      <w:szCs w:val="18"/>
                      <w:lang w:eastAsia="en-US"/>
                    </w:rPr>
                    <w:t xml:space="preserve">в </w:t>
                  </w:r>
                  <w:r w:rsidRPr="00F44F64">
                    <w:rPr>
                      <w:rFonts w:eastAsia="Calibri"/>
                      <w:kern w:val="1"/>
                      <w:sz w:val="18"/>
                      <w:szCs w:val="18"/>
                      <w:lang w:eastAsia="en-US"/>
                    </w:rPr>
                    <w:t>лице главы Советского района Б</w:t>
                  </w:r>
                  <w:r w:rsidRPr="00F44F64">
                    <w:rPr>
                      <w:rFonts w:eastAsia="Calibri"/>
                      <w:bCs/>
                      <w:kern w:val="1"/>
                      <w:sz w:val="18"/>
                      <w:szCs w:val="18"/>
                      <w:lang w:eastAsia="en-US"/>
                    </w:rPr>
                    <w:t xml:space="preserve">уренкова Евгения Ивановича, </w:t>
                  </w:r>
                  <w:r w:rsidRPr="00F44F64">
                    <w:rPr>
                      <w:rFonts w:eastAsia="Calibri"/>
                      <w:kern w:val="1"/>
                      <w:sz w:val="18"/>
                      <w:szCs w:val="18"/>
                      <w:lang w:eastAsia="en-US"/>
                    </w:rPr>
                    <w:t>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 Стороны, заключили настоящее соглашение о нижеследующем:</w:t>
                  </w:r>
                  <w:proofErr w:type="gramEnd"/>
                </w:p>
                <w:p w:rsidR="00F44F64" w:rsidRPr="00F44F64" w:rsidRDefault="00F44F64" w:rsidP="00F44F64">
                  <w:pPr>
                    <w:numPr>
                      <w:ilvl w:val="0"/>
                      <w:numId w:val="56"/>
                    </w:numPr>
                    <w:spacing w:line="259" w:lineRule="auto"/>
                    <w:ind w:right="21"/>
                    <w:rPr>
                      <w:rFonts w:eastAsia="Calibri"/>
                      <w:kern w:val="1"/>
                      <w:sz w:val="18"/>
                      <w:szCs w:val="18"/>
                      <w:lang w:eastAsia="en-US"/>
                    </w:rPr>
                  </w:pPr>
                  <w:r w:rsidRPr="00F44F64">
                    <w:rPr>
                      <w:rFonts w:eastAsia="Calibri"/>
                      <w:kern w:val="1"/>
                      <w:sz w:val="18"/>
                      <w:szCs w:val="18"/>
                      <w:lang w:eastAsia="en-US"/>
                    </w:rPr>
                    <w:t>Стороны при заключении настоящего соглашения руководствуются:</w:t>
                  </w:r>
                </w:p>
                <w:p w:rsidR="00F44F64" w:rsidRPr="00F44F64" w:rsidRDefault="00F44F64" w:rsidP="00F44F64">
                  <w:pPr>
                    <w:numPr>
                      <w:ilvl w:val="0"/>
                      <w:numId w:val="57"/>
                    </w:numPr>
                    <w:spacing w:line="259" w:lineRule="auto"/>
                    <w:ind w:right="21"/>
                    <w:rPr>
                      <w:rFonts w:eastAsia="Calibri"/>
                      <w:kern w:val="1"/>
                      <w:sz w:val="18"/>
                      <w:szCs w:val="18"/>
                      <w:lang w:eastAsia="en-US"/>
                    </w:rPr>
                  </w:pPr>
                  <w:r w:rsidRPr="00F44F64">
                    <w:rPr>
                      <w:rFonts w:eastAsia="Calibri"/>
                      <w:kern w:val="1"/>
                      <w:sz w:val="18"/>
                      <w:szCs w:val="18"/>
                      <w:lang w:eastAsia="en-US"/>
                    </w:rPr>
                    <w:t>Бюджетным кодексом Российской Федерации;</w:t>
                  </w:r>
                </w:p>
                <w:p w:rsidR="00F44F64" w:rsidRPr="00F44F64" w:rsidRDefault="00F44F64" w:rsidP="00F44F64">
                  <w:pPr>
                    <w:numPr>
                      <w:ilvl w:val="0"/>
                      <w:numId w:val="57"/>
                    </w:numPr>
                    <w:spacing w:line="259" w:lineRule="auto"/>
                    <w:ind w:right="21"/>
                    <w:rPr>
                      <w:rFonts w:eastAsia="Calibri"/>
                      <w:kern w:val="1"/>
                      <w:sz w:val="18"/>
                      <w:szCs w:val="18"/>
                      <w:lang w:eastAsia="en-US"/>
                    </w:rPr>
                  </w:pPr>
                  <w:r w:rsidRPr="00F44F64">
                    <w:rPr>
                      <w:rFonts w:eastAsia="Calibri"/>
                      <w:kern w:val="1"/>
                      <w:sz w:val="18"/>
                      <w:szCs w:val="18"/>
                      <w:lang w:eastAsia="en-US"/>
                    </w:rPr>
                    <w:t>Федеральным законом от 06.10.2003 № 131-ФЗ «Об общих принципах организации местного самоуправления в Российской Федерации»;</w:t>
                  </w:r>
                </w:p>
                <w:p w:rsidR="00F44F64" w:rsidRPr="00F44F64" w:rsidRDefault="00F44F64" w:rsidP="00F44F64">
                  <w:pPr>
                    <w:numPr>
                      <w:ilvl w:val="0"/>
                      <w:numId w:val="57"/>
                    </w:numPr>
                    <w:spacing w:line="259" w:lineRule="auto"/>
                    <w:ind w:right="21"/>
                    <w:rPr>
                      <w:rFonts w:eastAsia="Calibri"/>
                      <w:kern w:val="1"/>
                      <w:sz w:val="18"/>
                      <w:szCs w:val="18"/>
                      <w:lang w:eastAsia="en-US"/>
                    </w:rPr>
                  </w:pPr>
                  <w:r w:rsidRPr="00F44F64">
                    <w:rPr>
                      <w:rFonts w:eastAsia="Calibri"/>
                      <w:kern w:val="1"/>
                      <w:sz w:val="18"/>
                      <w:szCs w:val="18"/>
                      <w:lang w:eastAsia="en-US"/>
                    </w:rPr>
                    <w:t>Постановлением  Думы Ханты-Мансийского автономного округа – Югры от 31.03.2022 № 236 «Об утверждении перечня наказов избирателей депутатам Думы Ханты-Мансийского автономного округа – Югры на второй квартал 2022 года»;</w:t>
                  </w:r>
                </w:p>
                <w:p w:rsidR="00F44F64" w:rsidRPr="00F44F64" w:rsidRDefault="00F44F64" w:rsidP="00F44F64">
                  <w:pPr>
                    <w:numPr>
                      <w:ilvl w:val="0"/>
                      <w:numId w:val="57"/>
                    </w:numPr>
                    <w:spacing w:line="259" w:lineRule="auto"/>
                    <w:ind w:right="21"/>
                    <w:rPr>
                      <w:rFonts w:eastAsia="Calibri"/>
                      <w:kern w:val="1"/>
                      <w:sz w:val="18"/>
                      <w:szCs w:val="18"/>
                      <w:lang w:eastAsia="en-US"/>
                    </w:rPr>
                  </w:pPr>
                  <w:r w:rsidRPr="00F44F64">
                    <w:rPr>
                      <w:rFonts w:eastAsia="Calibri"/>
                      <w:kern w:val="1"/>
                      <w:sz w:val="18"/>
                      <w:szCs w:val="18"/>
                      <w:lang w:eastAsia="en-US"/>
                    </w:rPr>
                    <w:t>Решением Думы Советского района от 26.10.2018 № 227/НПА «Об утверждении Порядка предоставления межбюджетных трансфертов из бюджета Советского района»;</w:t>
                  </w:r>
                </w:p>
                <w:p w:rsidR="00F44F64" w:rsidRPr="00F44F64" w:rsidRDefault="00F44F64" w:rsidP="00F44F64">
                  <w:pPr>
                    <w:numPr>
                      <w:ilvl w:val="0"/>
                      <w:numId w:val="57"/>
                    </w:numPr>
                    <w:spacing w:line="259" w:lineRule="auto"/>
                    <w:ind w:right="21"/>
                    <w:rPr>
                      <w:rFonts w:eastAsia="Calibri"/>
                      <w:kern w:val="1"/>
                      <w:sz w:val="18"/>
                      <w:szCs w:val="18"/>
                      <w:lang w:eastAsia="en-US"/>
                    </w:rPr>
                  </w:pPr>
                  <w:r w:rsidRPr="00F44F64">
                    <w:rPr>
                      <w:rFonts w:eastAsia="Calibri"/>
                      <w:kern w:val="1"/>
                      <w:sz w:val="18"/>
                      <w:szCs w:val="18"/>
                      <w:lang w:eastAsia="en-US"/>
                    </w:rPr>
                    <w:t>Муниципальной программой «Развитие культуры в Советском районе», утвержденной постановлением администрации Советского района от 29.10.2018 № 2340;</w:t>
                  </w:r>
                </w:p>
                <w:p w:rsidR="00F44F64" w:rsidRPr="00F44F64" w:rsidRDefault="00F44F64" w:rsidP="00F44F64">
                  <w:pPr>
                    <w:numPr>
                      <w:ilvl w:val="0"/>
                      <w:numId w:val="57"/>
                    </w:numPr>
                    <w:spacing w:line="259" w:lineRule="auto"/>
                    <w:ind w:right="21"/>
                    <w:rPr>
                      <w:rFonts w:eastAsia="Calibri"/>
                      <w:kern w:val="1"/>
                      <w:sz w:val="18"/>
                      <w:szCs w:val="18"/>
                      <w:lang w:eastAsia="en-US"/>
                    </w:rPr>
                  </w:pPr>
                  <w:r w:rsidRPr="00F44F64">
                    <w:rPr>
                      <w:rFonts w:eastAsia="Calibri"/>
                      <w:kern w:val="1"/>
                      <w:sz w:val="18"/>
                      <w:szCs w:val="18"/>
                      <w:lang w:eastAsia="en-US"/>
                    </w:rPr>
                    <w:t>Постановлением администрации Советского района от 05.05.2022 № 1301 «О предоставлении иных межбюджетных трансфертов».</w:t>
                  </w:r>
                </w:p>
                <w:p w:rsidR="00DA21A7" w:rsidRPr="0019756D" w:rsidRDefault="00DA21A7" w:rsidP="00DA21A7">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F44F64" w:rsidP="0019756D">
      <w:pPr>
        <w:pStyle w:val="40"/>
        <w:widowControl w:val="0"/>
        <w:spacing w:before="0" w:beforeAutospacing="0" w:after="0" w:afterAutospacing="0"/>
        <w:rPr>
          <w:b w:val="0"/>
          <w:sz w:val="16"/>
          <w:szCs w:val="16"/>
        </w:rPr>
      </w:pPr>
      <w:r>
        <w:rPr>
          <w:b w:val="0"/>
          <w:sz w:val="16"/>
          <w:szCs w:val="16"/>
        </w:rPr>
        <w:t>Соглашение</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F44F64" w:rsidRPr="00F44F64" w:rsidRDefault="00F44F64" w:rsidP="00F44F64">
      <w:pPr>
        <w:widowControl w:val="0"/>
        <w:tabs>
          <w:tab w:val="left" w:pos="284"/>
        </w:tabs>
        <w:autoSpaceDE w:val="0"/>
        <w:autoSpaceDN w:val="0"/>
        <w:adjustRightInd w:val="0"/>
        <w:spacing w:before="240" w:after="100" w:afterAutospacing="1"/>
        <w:jc w:val="both"/>
        <w:rPr>
          <w:sz w:val="18"/>
        </w:rPr>
      </w:pPr>
      <w:bookmarkStart w:id="2" w:name="P004D"/>
      <w:bookmarkEnd w:id="1"/>
      <w:bookmarkEnd w:id="2"/>
      <w:proofErr w:type="gramStart"/>
      <w:r>
        <w:rPr>
          <w:sz w:val="18"/>
        </w:rPr>
        <w:lastRenderedPageBreak/>
        <w:t>2.</w:t>
      </w:r>
      <w:r w:rsidRPr="00F44F64">
        <w:rPr>
          <w:sz w:val="18"/>
        </w:rPr>
        <w:t>Предметом настоящего Соглашения является предоставление бюджету городского поселения Агириш иных межбюджетных трансфертов в рамках реализации муниципальной программы «Развитие культуры в Советском районе», утвержденной постановлением администрации Советского района от 29.10.2018 № 2340, для Муниципального бюджетного учреждения Культурно-спортивный комплекс «Современник» в размере 275 000 (Двести семьдесят пять тысяч) рублей 00 копеек, в том числе в целях оказания финансовой помощи:</w:t>
      </w:r>
      <w:proofErr w:type="gramEnd"/>
    </w:p>
    <w:p w:rsidR="00F44F64" w:rsidRPr="00F44F64" w:rsidRDefault="00F44F64" w:rsidP="00F44F64">
      <w:pPr>
        <w:tabs>
          <w:tab w:val="left" w:pos="284"/>
        </w:tabs>
        <w:spacing w:before="240" w:after="100" w:afterAutospacing="1"/>
        <w:jc w:val="both"/>
        <w:rPr>
          <w:sz w:val="18"/>
        </w:rPr>
      </w:pPr>
      <w:r w:rsidRPr="00F44F64">
        <w:rPr>
          <w:sz w:val="18"/>
        </w:rPr>
        <w:t>2.1. на ремонт помещений здания в размере 95 000 (Девяносто пять тысяч) рублей 00 копеек;</w:t>
      </w:r>
    </w:p>
    <w:p w:rsidR="00F44F64" w:rsidRPr="00F44F64" w:rsidRDefault="00F44F64" w:rsidP="00F44F64">
      <w:pPr>
        <w:tabs>
          <w:tab w:val="left" w:pos="284"/>
        </w:tabs>
        <w:spacing w:before="240" w:after="100" w:afterAutospacing="1"/>
        <w:jc w:val="both"/>
        <w:rPr>
          <w:sz w:val="18"/>
        </w:rPr>
      </w:pPr>
      <w:r w:rsidRPr="00F44F64">
        <w:rPr>
          <w:sz w:val="18"/>
        </w:rPr>
        <w:t>2.2. на приобретение мебели, дверей, светодиодных светильников, строительных материалов, ремонт помещений здания в размере 180 000 (Сто восемьдесят тысяч) рублей 00 копеек.</w:t>
      </w:r>
    </w:p>
    <w:p w:rsidR="00F44F64" w:rsidRPr="00F44F64" w:rsidRDefault="00F44F64" w:rsidP="00F44F64">
      <w:pPr>
        <w:widowControl w:val="0"/>
        <w:tabs>
          <w:tab w:val="left" w:pos="284"/>
        </w:tabs>
        <w:autoSpaceDE w:val="0"/>
        <w:autoSpaceDN w:val="0"/>
        <w:adjustRightInd w:val="0"/>
        <w:spacing w:before="240" w:after="100" w:afterAutospacing="1"/>
        <w:jc w:val="both"/>
        <w:rPr>
          <w:sz w:val="18"/>
        </w:rPr>
      </w:pPr>
      <w:r>
        <w:rPr>
          <w:sz w:val="18"/>
        </w:rPr>
        <w:t>3.</w:t>
      </w:r>
      <w:r w:rsidRPr="00F44F64">
        <w:rPr>
          <w:sz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F44F64" w:rsidRPr="00F44F64" w:rsidRDefault="00F44F64" w:rsidP="00F44F64">
      <w:pPr>
        <w:widowControl w:val="0"/>
        <w:tabs>
          <w:tab w:val="left" w:pos="284"/>
        </w:tabs>
        <w:autoSpaceDE w:val="0"/>
        <w:autoSpaceDN w:val="0"/>
        <w:adjustRightInd w:val="0"/>
        <w:spacing w:before="240" w:after="100" w:afterAutospacing="1"/>
        <w:jc w:val="both"/>
        <w:rPr>
          <w:sz w:val="18"/>
        </w:rPr>
      </w:pPr>
      <w:r>
        <w:rPr>
          <w:sz w:val="18"/>
        </w:rPr>
        <w:t>4.</w:t>
      </w:r>
      <w:r w:rsidRPr="00F44F64">
        <w:rPr>
          <w:sz w:val="18"/>
        </w:rPr>
        <w:t>Настоящее Соглашение вступает в силу после его официального опубликования (обнародования) Сторонами, действует до полного исполнения Сторонами взятых на себя обязательств.</w:t>
      </w:r>
    </w:p>
    <w:p w:rsidR="00F44F64" w:rsidRPr="00F44F64" w:rsidRDefault="00F44F64" w:rsidP="00F44F64">
      <w:pPr>
        <w:widowControl w:val="0"/>
        <w:tabs>
          <w:tab w:val="left" w:pos="284"/>
        </w:tabs>
        <w:autoSpaceDE w:val="0"/>
        <w:autoSpaceDN w:val="0"/>
        <w:adjustRightInd w:val="0"/>
        <w:spacing w:before="240" w:after="100" w:afterAutospacing="1"/>
        <w:jc w:val="both"/>
        <w:rPr>
          <w:sz w:val="18"/>
        </w:rPr>
      </w:pPr>
      <w:r>
        <w:rPr>
          <w:sz w:val="18"/>
        </w:rPr>
        <w:t>5.</w:t>
      </w:r>
      <w:r w:rsidRPr="00F44F64">
        <w:rPr>
          <w:sz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10 рабочих дней 2023 года.</w:t>
      </w:r>
    </w:p>
    <w:p w:rsidR="00F44F64" w:rsidRPr="00F44F64" w:rsidRDefault="00F44F64" w:rsidP="00F44F64">
      <w:pPr>
        <w:widowControl w:val="0"/>
        <w:tabs>
          <w:tab w:val="left" w:pos="284"/>
        </w:tabs>
        <w:autoSpaceDE w:val="0"/>
        <w:autoSpaceDN w:val="0"/>
        <w:adjustRightInd w:val="0"/>
        <w:spacing w:before="240" w:after="100" w:afterAutospacing="1"/>
        <w:jc w:val="both"/>
        <w:rPr>
          <w:sz w:val="18"/>
        </w:rPr>
      </w:pPr>
      <w:r>
        <w:rPr>
          <w:sz w:val="18"/>
        </w:rPr>
        <w:t>6.</w:t>
      </w:r>
      <w:r w:rsidRPr="00F44F64">
        <w:rPr>
          <w:sz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F44F64" w:rsidRPr="00F44F64" w:rsidRDefault="00F44F64" w:rsidP="00F44F64">
      <w:pPr>
        <w:jc w:val="both"/>
        <w:rPr>
          <w:b/>
          <w:sz w:val="18"/>
        </w:rPr>
      </w:pPr>
    </w:p>
    <w:p w:rsidR="00F44F64" w:rsidRPr="00F44F64" w:rsidRDefault="00F44F64" w:rsidP="00F44F64">
      <w:pPr>
        <w:jc w:val="both"/>
        <w:rPr>
          <w:b/>
          <w:sz w:val="18"/>
        </w:rPr>
      </w:pPr>
    </w:p>
    <w:p w:rsidR="00F44F64" w:rsidRPr="00F44F64" w:rsidRDefault="00F44F64" w:rsidP="00F44F64">
      <w:pPr>
        <w:jc w:val="both"/>
        <w:rPr>
          <w:b/>
          <w:sz w:val="18"/>
        </w:rPr>
      </w:pPr>
    </w:p>
    <w:p w:rsidR="00F44F64" w:rsidRPr="00F44F64" w:rsidRDefault="00F44F64" w:rsidP="00F44F64">
      <w:pPr>
        <w:jc w:val="both"/>
        <w:outlineLvl w:val="0"/>
        <w:rPr>
          <w:b/>
          <w:sz w:val="18"/>
        </w:rPr>
      </w:pPr>
      <w:r w:rsidRPr="00F44F64">
        <w:rPr>
          <w:b/>
          <w:sz w:val="18"/>
        </w:rPr>
        <w:t>Подписи сторон:</w:t>
      </w:r>
    </w:p>
    <w:p w:rsidR="00F44F64" w:rsidRPr="00F44F64" w:rsidRDefault="00F44F64" w:rsidP="00F44F64">
      <w:pPr>
        <w:jc w:val="both"/>
        <w:outlineLvl w:val="0"/>
        <w:rPr>
          <w:b/>
          <w:sz w:val="18"/>
        </w:rPr>
      </w:pPr>
    </w:p>
    <w:p w:rsidR="00F44F64" w:rsidRPr="00F44F64" w:rsidRDefault="00F44F64" w:rsidP="00F44F64">
      <w:pPr>
        <w:jc w:val="both"/>
        <w:outlineLvl w:val="0"/>
        <w:rPr>
          <w:b/>
          <w:sz w:val="18"/>
        </w:rPr>
      </w:pPr>
      <w:r w:rsidRPr="00F44F64">
        <w:rPr>
          <w:b/>
          <w:sz w:val="18"/>
        </w:rPr>
        <w:t>Администрация района</w:t>
      </w:r>
      <w:r w:rsidRPr="00F44F64">
        <w:rPr>
          <w:b/>
          <w:sz w:val="18"/>
        </w:rPr>
        <w:tab/>
      </w:r>
      <w:r w:rsidRPr="00F44F64">
        <w:rPr>
          <w:b/>
          <w:sz w:val="18"/>
        </w:rPr>
        <w:tab/>
      </w:r>
      <w:r w:rsidRPr="00F44F64">
        <w:rPr>
          <w:b/>
          <w:sz w:val="18"/>
        </w:rPr>
        <w:tab/>
      </w:r>
      <w:r w:rsidRPr="00F44F64">
        <w:rPr>
          <w:b/>
          <w:sz w:val="18"/>
        </w:rPr>
        <w:tab/>
        <w:t xml:space="preserve">      Администрация поселения</w:t>
      </w:r>
    </w:p>
    <w:p w:rsidR="00F44F64" w:rsidRPr="00F44F64" w:rsidRDefault="00F44F64" w:rsidP="00F44F64">
      <w:pPr>
        <w:jc w:val="both"/>
        <w:outlineLvl w:val="0"/>
        <w:rPr>
          <w:b/>
          <w:sz w:val="18"/>
        </w:rPr>
      </w:pPr>
    </w:p>
    <w:tbl>
      <w:tblPr>
        <w:tblW w:w="0" w:type="auto"/>
        <w:tblLook w:val="01E0" w:firstRow="1" w:lastRow="1" w:firstColumn="1" w:lastColumn="1" w:noHBand="0" w:noVBand="0"/>
      </w:tblPr>
      <w:tblGrid>
        <w:gridCol w:w="5412"/>
        <w:gridCol w:w="4158"/>
      </w:tblGrid>
      <w:tr w:rsidR="00F44F64" w:rsidRPr="00F44F64" w:rsidTr="00C62618">
        <w:tc>
          <w:tcPr>
            <w:tcW w:w="5495" w:type="dxa"/>
          </w:tcPr>
          <w:p w:rsidR="00F44F64" w:rsidRPr="00F44F64" w:rsidRDefault="00F44F64" w:rsidP="00F44F64">
            <w:pPr>
              <w:rPr>
                <w:b/>
                <w:sz w:val="18"/>
              </w:rPr>
            </w:pPr>
            <w:r w:rsidRPr="00F44F64">
              <w:rPr>
                <w:b/>
                <w:sz w:val="18"/>
              </w:rPr>
              <w:t>Глава</w:t>
            </w:r>
          </w:p>
          <w:p w:rsidR="00F44F64" w:rsidRPr="00F44F64" w:rsidRDefault="00F44F64" w:rsidP="00F44F64">
            <w:pPr>
              <w:rPr>
                <w:b/>
                <w:sz w:val="18"/>
              </w:rPr>
            </w:pPr>
            <w:r w:rsidRPr="00F44F64">
              <w:rPr>
                <w:b/>
                <w:sz w:val="18"/>
              </w:rPr>
              <w:t xml:space="preserve"> Советского района </w:t>
            </w:r>
          </w:p>
          <w:p w:rsidR="00F44F64" w:rsidRPr="00F44F64" w:rsidRDefault="00F44F64" w:rsidP="00F44F64">
            <w:pPr>
              <w:rPr>
                <w:b/>
                <w:sz w:val="18"/>
              </w:rPr>
            </w:pPr>
            <w:r w:rsidRPr="00F44F64">
              <w:rPr>
                <w:b/>
                <w:sz w:val="18"/>
              </w:rPr>
              <w:t>Е.И. Буренков</w:t>
            </w:r>
          </w:p>
        </w:tc>
        <w:tc>
          <w:tcPr>
            <w:tcW w:w="4218" w:type="dxa"/>
          </w:tcPr>
          <w:p w:rsidR="00F44F64" w:rsidRPr="00F44F64" w:rsidRDefault="00F44F64" w:rsidP="00F44F64">
            <w:pPr>
              <w:rPr>
                <w:b/>
                <w:sz w:val="18"/>
              </w:rPr>
            </w:pPr>
            <w:r w:rsidRPr="00F44F64">
              <w:rPr>
                <w:b/>
                <w:sz w:val="18"/>
              </w:rPr>
              <w:t>Глава городского поселения Агириш Г.А. Крицына</w:t>
            </w:r>
          </w:p>
          <w:p w:rsidR="00F44F64" w:rsidRPr="00F44F64" w:rsidRDefault="00F44F64" w:rsidP="00F44F64">
            <w:pPr>
              <w:jc w:val="both"/>
              <w:rPr>
                <w:b/>
                <w:sz w:val="18"/>
              </w:rPr>
            </w:pPr>
          </w:p>
          <w:p w:rsidR="00F44F64" w:rsidRPr="00F44F64" w:rsidRDefault="00F44F64" w:rsidP="00F44F64">
            <w:pPr>
              <w:jc w:val="both"/>
              <w:rPr>
                <w:b/>
                <w:sz w:val="18"/>
              </w:rPr>
            </w:pPr>
          </w:p>
          <w:p w:rsidR="00F44F64" w:rsidRPr="00F44F64" w:rsidRDefault="00F44F64" w:rsidP="00F44F64">
            <w:pPr>
              <w:jc w:val="both"/>
              <w:rPr>
                <w:b/>
                <w:sz w:val="18"/>
              </w:rPr>
            </w:pPr>
          </w:p>
        </w:tc>
      </w:tr>
    </w:tbl>
    <w:p w:rsidR="00F44F64" w:rsidRDefault="00F44F64" w:rsidP="00F44F64">
      <w:pPr>
        <w:jc w:val="both"/>
      </w:pPr>
    </w:p>
    <w:p w:rsidR="00F44F64" w:rsidRDefault="00F44F64" w:rsidP="00F44F64">
      <w:pPr>
        <w:jc w:val="both"/>
      </w:pPr>
    </w:p>
    <w:p w:rsidR="00F44F64" w:rsidRDefault="00F44F64" w:rsidP="00F44F64">
      <w:pPr>
        <w:pStyle w:val="af"/>
        <w:rPr>
          <w:color w:val="FF0000"/>
          <w:sz w:val="44"/>
          <w:szCs w:val="44"/>
        </w:rPr>
      </w:pPr>
      <w:r>
        <w:rPr>
          <w:noProof/>
        </w:rPr>
        <w:drawing>
          <wp:anchor distT="0" distB="0" distL="114300" distR="114300" simplePos="0" relativeHeight="251676672" behindDoc="1" locked="0" layoutInCell="1" allowOverlap="1">
            <wp:simplePos x="0" y="0"/>
            <wp:positionH relativeFrom="column">
              <wp:posOffset>4360545</wp:posOffset>
            </wp:positionH>
            <wp:positionV relativeFrom="paragraph">
              <wp:posOffset>-450215</wp:posOffset>
            </wp:positionV>
            <wp:extent cx="1805940" cy="1684020"/>
            <wp:effectExtent l="0" t="0" r="0" b="0"/>
            <wp:wrapThrough wrapText="bothSides">
              <wp:wrapPolygon edited="0">
                <wp:start x="0" y="0"/>
                <wp:lineTo x="0" y="21258"/>
                <wp:lineTo x="21418" y="21258"/>
                <wp:lineTo x="21418" y="0"/>
                <wp:lineTo x="0" y="0"/>
              </wp:wrapPolygon>
            </wp:wrapThrough>
            <wp:docPr id="12" name="Рисунок 12" descr="i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 (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940" cy="16840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3065145</wp:posOffset>
            </wp:positionH>
            <wp:positionV relativeFrom="paragraph">
              <wp:posOffset>-450215</wp:posOffset>
            </wp:positionV>
            <wp:extent cx="1295400" cy="1348740"/>
            <wp:effectExtent l="0" t="0" r="0" b="0"/>
            <wp:wrapThrough wrapText="bothSides">
              <wp:wrapPolygon edited="0">
                <wp:start x="0" y="0"/>
                <wp:lineTo x="0" y="21356"/>
                <wp:lineTo x="21282" y="21356"/>
                <wp:lineTo x="21282" y="0"/>
                <wp:lineTo x="0" y="0"/>
              </wp:wrapPolygon>
            </wp:wrapThrough>
            <wp:docPr id="11" name="Рисунок 11" descr="i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 (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3487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simplePos x="0" y="0"/>
            <wp:positionH relativeFrom="column">
              <wp:posOffset>1345565</wp:posOffset>
            </wp:positionH>
            <wp:positionV relativeFrom="paragraph">
              <wp:posOffset>-450215</wp:posOffset>
            </wp:positionV>
            <wp:extent cx="1720850" cy="1623060"/>
            <wp:effectExtent l="0" t="0" r="0" b="0"/>
            <wp:wrapThrough wrapText="bothSides">
              <wp:wrapPolygon edited="0">
                <wp:start x="0" y="0"/>
                <wp:lineTo x="0" y="21296"/>
                <wp:lineTo x="21281" y="21296"/>
                <wp:lineTo x="21281" y="0"/>
                <wp:lineTo x="0" y="0"/>
              </wp:wrapPolygon>
            </wp:wrapThrough>
            <wp:docPr id="10" name="Рисунок 10" descr="i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 (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50" cy="1623060"/>
                    </a:xfrm>
                    <a:prstGeom prst="rect">
                      <a:avLst/>
                    </a:prstGeom>
                    <a:noFill/>
                  </pic:spPr>
                </pic:pic>
              </a:graphicData>
            </a:graphic>
            <wp14:sizeRelH relativeFrom="page">
              <wp14:pctWidth>0</wp14:pctWidth>
            </wp14:sizeRelH>
            <wp14:sizeRelV relativeFrom="margin">
              <wp14:pctHeight>0</wp14:pctHeight>
            </wp14:sizeRelV>
          </wp:anchor>
        </w:drawing>
      </w:r>
      <w:r>
        <w:rPr>
          <w:color w:val="FF0000"/>
          <w:sz w:val="44"/>
          <w:szCs w:val="44"/>
        </w:rPr>
        <w:t xml:space="preserve">       </w:t>
      </w:r>
    </w:p>
    <w:p w:rsidR="00F44F64" w:rsidRDefault="00F44F64" w:rsidP="00F44F64">
      <w:pPr>
        <w:jc w:val="center"/>
        <w:rPr>
          <w:color w:val="FF0000"/>
          <w:sz w:val="44"/>
          <w:szCs w:val="44"/>
        </w:rPr>
      </w:pPr>
      <w:r>
        <w:rPr>
          <w:noProof/>
        </w:rPr>
        <w:drawing>
          <wp:anchor distT="0" distB="0" distL="114300" distR="114300" simplePos="0" relativeHeight="251675648" behindDoc="0" locked="0" layoutInCell="1" allowOverlap="1">
            <wp:simplePos x="0" y="0"/>
            <wp:positionH relativeFrom="column">
              <wp:posOffset>3994785</wp:posOffset>
            </wp:positionH>
            <wp:positionV relativeFrom="paragraph">
              <wp:posOffset>203835</wp:posOffset>
            </wp:positionV>
            <wp:extent cx="2171700" cy="1941195"/>
            <wp:effectExtent l="0" t="0" r="0" b="0"/>
            <wp:wrapThrough wrapText="bothSides">
              <wp:wrapPolygon edited="0">
                <wp:start x="0" y="0"/>
                <wp:lineTo x="0" y="21409"/>
                <wp:lineTo x="21411" y="21409"/>
                <wp:lineTo x="21411" y="0"/>
                <wp:lineTo x="0" y="0"/>
              </wp:wrapPolygon>
            </wp:wrapThrough>
            <wp:docPr id="9" name="Рисунок 9" descr="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 (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941195"/>
                    </a:xfrm>
                    <a:prstGeom prst="rect">
                      <a:avLst/>
                    </a:prstGeom>
                    <a:noFill/>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simplePos x="0" y="0"/>
            <wp:positionH relativeFrom="column">
              <wp:posOffset>1343025</wp:posOffset>
            </wp:positionH>
            <wp:positionV relativeFrom="paragraph">
              <wp:posOffset>203835</wp:posOffset>
            </wp:positionV>
            <wp:extent cx="2720340" cy="1935480"/>
            <wp:effectExtent l="0" t="0" r="0" b="0"/>
            <wp:wrapThrough wrapText="bothSides">
              <wp:wrapPolygon edited="0">
                <wp:start x="0" y="0"/>
                <wp:lineTo x="0" y="21472"/>
                <wp:lineTo x="21479" y="21472"/>
                <wp:lineTo x="21479" y="0"/>
                <wp:lineTo x="0" y="0"/>
              </wp:wrapPolygon>
            </wp:wrapThrough>
            <wp:docPr id="8" name="Рисунок 8" descr="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0340" cy="1935480"/>
                    </a:xfrm>
                    <a:prstGeom prst="rect">
                      <a:avLst/>
                    </a:prstGeom>
                    <a:noFill/>
                  </pic:spPr>
                </pic:pic>
              </a:graphicData>
            </a:graphic>
            <wp14:sizeRelH relativeFrom="page">
              <wp14:pctWidth>0</wp14:pctWidth>
            </wp14:sizeRelH>
            <wp14:sizeRelV relativeFrom="margin">
              <wp14:pctHeight>0</wp14:pctHeight>
            </wp14:sizeRelV>
          </wp:anchor>
        </w:drawing>
      </w:r>
      <w:r>
        <w:rPr>
          <w:color w:val="FF0000"/>
          <w:sz w:val="44"/>
          <w:szCs w:val="44"/>
        </w:rPr>
        <w:t xml:space="preserve">              </w:t>
      </w:r>
    </w:p>
    <w:p w:rsidR="00F44F64" w:rsidRDefault="00F44F64" w:rsidP="00F44F64">
      <w:pPr>
        <w:ind w:hanging="142"/>
        <w:jc w:val="center"/>
        <w:rPr>
          <w:color w:val="FF0000"/>
          <w:sz w:val="44"/>
          <w:szCs w:val="44"/>
        </w:rPr>
      </w:pPr>
      <w:r>
        <w:rPr>
          <w:color w:val="FF0000"/>
          <w:sz w:val="44"/>
          <w:szCs w:val="44"/>
        </w:rPr>
        <w:t xml:space="preserve">         </w:t>
      </w:r>
    </w:p>
    <w:p w:rsidR="00F44F64" w:rsidRDefault="00F44F64" w:rsidP="00F44F64">
      <w:pPr>
        <w:ind w:hanging="142"/>
        <w:jc w:val="center"/>
        <w:rPr>
          <w:color w:val="FF0000"/>
          <w:sz w:val="44"/>
          <w:szCs w:val="44"/>
        </w:rPr>
      </w:pPr>
      <w:r>
        <w:rPr>
          <w:noProof/>
          <w:color w:val="000000"/>
        </w:rPr>
        <w:drawing>
          <wp:inline distT="0" distB="0" distL="0" distR="0">
            <wp:extent cx="1228725" cy="1209675"/>
            <wp:effectExtent l="0" t="0" r="0" b="0"/>
            <wp:docPr id="7" name="Рисунок 7" descr="Центроспас новая лей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ентроспас новая лейб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inline>
        </w:drawing>
      </w:r>
      <w:r>
        <w:rPr>
          <w:color w:val="FF0000"/>
          <w:sz w:val="44"/>
          <w:szCs w:val="44"/>
        </w:rPr>
        <w:t xml:space="preserve">             </w:t>
      </w:r>
    </w:p>
    <w:p w:rsidR="00F44F64" w:rsidRDefault="00F44F64" w:rsidP="00F44F64">
      <w:pPr>
        <w:rPr>
          <w:color w:val="FF0000"/>
          <w:sz w:val="44"/>
          <w:szCs w:val="44"/>
        </w:rPr>
      </w:pPr>
    </w:p>
    <w:p w:rsidR="00F44F64" w:rsidRPr="00F44F64" w:rsidRDefault="00F44F64" w:rsidP="00F44F64">
      <w:pPr>
        <w:ind w:hanging="142"/>
        <w:jc w:val="center"/>
        <w:rPr>
          <w:color w:val="FF0000"/>
          <w:sz w:val="18"/>
          <w:szCs w:val="18"/>
        </w:rPr>
      </w:pPr>
      <w:r>
        <w:rPr>
          <w:color w:val="FF0000"/>
          <w:sz w:val="32"/>
          <w:szCs w:val="32"/>
        </w:rPr>
        <w:t xml:space="preserve"> </w:t>
      </w:r>
      <w:r w:rsidRPr="00F44F64">
        <w:rPr>
          <w:color w:val="FF0000"/>
          <w:sz w:val="18"/>
          <w:szCs w:val="18"/>
        </w:rPr>
        <w:t xml:space="preserve">         «Пожаробезопасность летом»</w:t>
      </w:r>
    </w:p>
    <w:p w:rsidR="00F44F64" w:rsidRPr="00F44F64" w:rsidRDefault="00F44F64" w:rsidP="00F44F64">
      <w:pPr>
        <w:tabs>
          <w:tab w:val="left" w:pos="142"/>
        </w:tabs>
        <w:jc w:val="center"/>
        <w:outlineLvl w:val="0"/>
        <w:rPr>
          <w:color w:val="FF0000"/>
          <w:sz w:val="18"/>
          <w:szCs w:val="18"/>
        </w:rPr>
      </w:pPr>
      <w:r w:rsidRPr="00F44F64">
        <w:rPr>
          <w:color w:val="FF0000"/>
          <w:sz w:val="18"/>
          <w:szCs w:val="18"/>
        </w:rPr>
        <w:t>Уважаемые жители городского поселения Агириш!</w:t>
      </w:r>
    </w:p>
    <w:p w:rsidR="00F44F64" w:rsidRPr="00F44F64" w:rsidRDefault="00F44F64" w:rsidP="00F44F64">
      <w:pPr>
        <w:tabs>
          <w:tab w:val="left" w:pos="142"/>
        </w:tabs>
        <w:jc w:val="center"/>
        <w:outlineLvl w:val="0"/>
        <w:rPr>
          <w:color w:val="FF0000"/>
          <w:sz w:val="18"/>
          <w:szCs w:val="18"/>
        </w:rPr>
      </w:pPr>
      <w:r w:rsidRPr="00F44F64">
        <w:rPr>
          <w:color w:val="FF0000"/>
          <w:sz w:val="18"/>
          <w:szCs w:val="18"/>
        </w:rPr>
        <w:t>Пожарная часть посёлка Агириш напоминает вам о соблюдении</w:t>
      </w:r>
    </w:p>
    <w:p w:rsidR="00F44F64" w:rsidRPr="00F44F64" w:rsidRDefault="00F44F64" w:rsidP="00F44F64">
      <w:pPr>
        <w:tabs>
          <w:tab w:val="left" w:pos="142"/>
        </w:tabs>
        <w:jc w:val="center"/>
        <w:outlineLvl w:val="0"/>
        <w:rPr>
          <w:color w:val="FF0000"/>
          <w:sz w:val="18"/>
          <w:szCs w:val="18"/>
        </w:rPr>
      </w:pPr>
      <w:r w:rsidRPr="00F44F64">
        <w:rPr>
          <w:color w:val="FF0000"/>
          <w:sz w:val="18"/>
          <w:szCs w:val="18"/>
        </w:rPr>
        <w:lastRenderedPageBreak/>
        <w:t>правил пожарной безопасности в летний пожароопасный период.</w:t>
      </w:r>
    </w:p>
    <w:p w:rsidR="00F44F64" w:rsidRPr="00F44F64" w:rsidRDefault="00F44F64" w:rsidP="00F44F64">
      <w:pPr>
        <w:pStyle w:val="ae"/>
        <w:spacing w:before="0" w:beforeAutospacing="0" w:after="0" w:afterAutospacing="0"/>
        <w:rPr>
          <w:rFonts w:ascii="Tahoma" w:hAnsi="Tahoma" w:cs="Tahoma"/>
          <w:sz w:val="18"/>
          <w:szCs w:val="18"/>
        </w:rPr>
      </w:pPr>
      <w:r w:rsidRPr="00F44F64">
        <w:rPr>
          <w:sz w:val="18"/>
          <w:szCs w:val="18"/>
        </w:rPr>
        <w:t>В связи с наступлением весенне-летнего периода, повышением температуры окружающей среды, ежегодно отмечается увеличение количества пожаров, погибших и травмированных людей. Как правило, в этот период происходит несанкционированное сжигание сухой травы, мусора.</w:t>
      </w:r>
    </w:p>
    <w:p w:rsidR="00F44F64" w:rsidRPr="00F44F64" w:rsidRDefault="00F44F64" w:rsidP="00F44F64">
      <w:pPr>
        <w:rPr>
          <w:sz w:val="18"/>
          <w:szCs w:val="18"/>
        </w:rPr>
      </w:pPr>
      <w:r w:rsidRPr="00F44F64">
        <w:rPr>
          <w:sz w:val="18"/>
          <w:szCs w:val="18"/>
        </w:rPr>
        <w:t>Чтобы не допустить возникновения пожара необходимо знать и соблюдать правила пожарной безопасности:</w:t>
      </w:r>
    </w:p>
    <w:p w:rsidR="00F44F64" w:rsidRPr="00F44F64" w:rsidRDefault="00F44F64" w:rsidP="00F44F64">
      <w:pPr>
        <w:rPr>
          <w:sz w:val="18"/>
          <w:szCs w:val="18"/>
        </w:rPr>
      </w:pPr>
      <w:r w:rsidRPr="00F44F64">
        <w:rPr>
          <w:sz w:val="18"/>
          <w:szCs w:val="18"/>
        </w:rPr>
        <w:t xml:space="preserve"> - своевременно очищайте участок и прилегающую к нему территорию от горючих отходов; </w:t>
      </w:r>
    </w:p>
    <w:p w:rsidR="00F44F64" w:rsidRPr="00F44F64" w:rsidRDefault="00F44F64" w:rsidP="00F44F64">
      <w:pPr>
        <w:rPr>
          <w:sz w:val="18"/>
          <w:szCs w:val="18"/>
        </w:rPr>
      </w:pPr>
      <w:r w:rsidRPr="00F44F64">
        <w:rPr>
          <w:sz w:val="18"/>
          <w:szCs w:val="18"/>
        </w:rPr>
        <w:t>- не сжигайте мусор вблизи строений;</w:t>
      </w:r>
    </w:p>
    <w:p w:rsidR="00F44F64" w:rsidRPr="00F44F64" w:rsidRDefault="00F44F64" w:rsidP="00F44F64">
      <w:pPr>
        <w:rPr>
          <w:sz w:val="18"/>
          <w:szCs w:val="18"/>
        </w:rPr>
      </w:pPr>
      <w:r w:rsidRPr="00F44F64">
        <w:rPr>
          <w:sz w:val="18"/>
          <w:szCs w:val="18"/>
        </w:rPr>
        <w:t xml:space="preserve"> - не загромождайте проезды улиц, ведущих к частным домам, ветками деревьев и мусором;</w:t>
      </w:r>
    </w:p>
    <w:p w:rsidR="00F44F64" w:rsidRPr="00F44F64" w:rsidRDefault="00F44F64" w:rsidP="00F44F64">
      <w:pPr>
        <w:rPr>
          <w:sz w:val="18"/>
          <w:szCs w:val="18"/>
        </w:rPr>
      </w:pPr>
      <w:r w:rsidRPr="00F44F64">
        <w:rPr>
          <w:sz w:val="18"/>
          <w:szCs w:val="18"/>
        </w:rPr>
        <w:t xml:space="preserve"> - соблюдайте меры предосторожности при эксплуатации электрических сетей, электробытовых,  </w:t>
      </w:r>
    </w:p>
    <w:p w:rsidR="00F44F64" w:rsidRPr="00F44F64" w:rsidRDefault="00F44F64" w:rsidP="00F44F64">
      <w:pPr>
        <w:rPr>
          <w:sz w:val="18"/>
          <w:szCs w:val="18"/>
        </w:rPr>
      </w:pPr>
      <w:r w:rsidRPr="00F44F64">
        <w:rPr>
          <w:sz w:val="18"/>
          <w:szCs w:val="18"/>
        </w:rPr>
        <w:t xml:space="preserve">   газовых приборов; </w:t>
      </w:r>
    </w:p>
    <w:p w:rsidR="00F44F64" w:rsidRPr="00F44F64" w:rsidRDefault="00F44F64" w:rsidP="00F44F64">
      <w:pPr>
        <w:rPr>
          <w:sz w:val="18"/>
          <w:szCs w:val="18"/>
        </w:rPr>
      </w:pPr>
      <w:r w:rsidRPr="00F44F64">
        <w:rPr>
          <w:sz w:val="18"/>
          <w:szCs w:val="18"/>
        </w:rPr>
        <w:t xml:space="preserve">- будьте осторожны при пользовании открытым огнем; </w:t>
      </w:r>
    </w:p>
    <w:p w:rsidR="00F44F64" w:rsidRPr="00F44F64" w:rsidRDefault="00F44F64" w:rsidP="00F44F64">
      <w:pPr>
        <w:pStyle w:val="ae"/>
        <w:spacing w:before="0" w:beforeAutospacing="0" w:after="0" w:afterAutospacing="0"/>
        <w:rPr>
          <w:rFonts w:ascii="Tahoma" w:hAnsi="Tahoma" w:cs="Tahoma"/>
          <w:sz w:val="18"/>
          <w:szCs w:val="18"/>
        </w:rPr>
      </w:pPr>
      <w:r w:rsidRPr="00F44F64">
        <w:rPr>
          <w:sz w:val="18"/>
          <w:szCs w:val="18"/>
        </w:rPr>
        <w:t>- не бросайте не затушенные окурки и спички в траву;</w:t>
      </w:r>
    </w:p>
    <w:p w:rsidR="00F44F64" w:rsidRPr="00F44F64" w:rsidRDefault="00F44F64" w:rsidP="00F44F64">
      <w:pPr>
        <w:pStyle w:val="ae"/>
        <w:spacing w:before="0" w:beforeAutospacing="0" w:after="0" w:afterAutospacing="0"/>
        <w:rPr>
          <w:sz w:val="18"/>
          <w:szCs w:val="18"/>
        </w:rPr>
      </w:pPr>
      <w:r w:rsidRPr="00F44F64">
        <w:rPr>
          <w:sz w:val="18"/>
          <w:szCs w:val="18"/>
        </w:rPr>
        <w:t>- не оставляйте брошенными на улице бутылки, битые стекла;</w:t>
      </w:r>
    </w:p>
    <w:p w:rsidR="00F44F64" w:rsidRPr="00F44F64" w:rsidRDefault="00F44F64" w:rsidP="00F44F64">
      <w:pPr>
        <w:pStyle w:val="ae"/>
        <w:spacing w:before="0" w:beforeAutospacing="0" w:after="0" w:afterAutospacing="0"/>
        <w:rPr>
          <w:rFonts w:ascii="Tahoma" w:hAnsi="Tahoma" w:cs="Tahoma"/>
          <w:sz w:val="18"/>
          <w:szCs w:val="18"/>
        </w:rPr>
      </w:pPr>
      <w:r w:rsidRPr="00F44F64">
        <w:rPr>
          <w:sz w:val="18"/>
          <w:szCs w:val="18"/>
        </w:rPr>
        <w:t>- не пользуйтесь мангалами и другими приспособлениями для приготовления пищи вне специально оборудованных мест;</w:t>
      </w:r>
    </w:p>
    <w:p w:rsidR="00F44F64" w:rsidRPr="00F44F64" w:rsidRDefault="00F44F64" w:rsidP="00F44F64">
      <w:pPr>
        <w:pStyle w:val="ae"/>
        <w:spacing w:before="0" w:beforeAutospacing="0" w:after="0" w:afterAutospacing="0"/>
        <w:rPr>
          <w:rFonts w:ascii="Tahoma" w:hAnsi="Tahoma" w:cs="Tahoma"/>
          <w:sz w:val="18"/>
          <w:szCs w:val="18"/>
        </w:rPr>
      </w:pPr>
      <w:r w:rsidRPr="00F44F64">
        <w:rPr>
          <w:sz w:val="18"/>
          <w:szCs w:val="18"/>
        </w:rPr>
        <w:t>- строго пресекайте шалость детей с огнем.</w:t>
      </w:r>
    </w:p>
    <w:p w:rsidR="00F44F64" w:rsidRPr="00F44F64" w:rsidRDefault="00F44F64" w:rsidP="00F44F64">
      <w:pPr>
        <w:rPr>
          <w:sz w:val="18"/>
          <w:szCs w:val="18"/>
        </w:rPr>
      </w:pPr>
      <w:r w:rsidRPr="00F44F64">
        <w:rPr>
          <w:sz w:val="18"/>
          <w:szCs w:val="18"/>
        </w:rPr>
        <w:t xml:space="preserve"> В каждом жилом доме и на садовом участке необходимо иметь средства для тушения огня: емкость с водой (бочка), огнетушитель, кошму, ведро, лопату и приставную лестницу. </w:t>
      </w:r>
    </w:p>
    <w:p w:rsidR="00F44F64" w:rsidRPr="00F44F64" w:rsidRDefault="00F44F64" w:rsidP="00F44F64">
      <w:pPr>
        <w:pStyle w:val="ae"/>
        <w:spacing w:before="0" w:beforeAutospacing="0" w:after="0" w:afterAutospacing="0"/>
        <w:rPr>
          <w:rFonts w:ascii="Tahoma" w:hAnsi="Tahoma" w:cs="Tahoma"/>
          <w:sz w:val="18"/>
          <w:szCs w:val="18"/>
        </w:rPr>
      </w:pPr>
      <w:r w:rsidRPr="00F44F64">
        <w:rPr>
          <w:b/>
          <w:bCs/>
          <w:sz w:val="18"/>
          <w:szCs w:val="18"/>
        </w:rPr>
        <w:t>ПОМНИТЕ</w:t>
      </w:r>
      <w:r w:rsidRPr="00F44F64">
        <w:rPr>
          <w:sz w:val="18"/>
          <w:szCs w:val="18"/>
        </w:rPr>
        <w:t>, что неумелое обращение с огнем приводит к человеческим жертвам и материальному ущербу. Лица, виновные в нарушении правил пожарной безопасности, в зависимости от характера нарушений и их последствий, несут административную или уголовную ответственность.</w:t>
      </w:r>
    </w:p>
    <w:p w:rsidR="00F44F64" w:rsidRPr="00F44F64" w:rsidRDefault="00F44F64" w:rsidP="00F44F64">
      <w:pPr>
        <w:pStyle w:val="afff1"/>
        <w:jc w:val="center"/>
        <w:rPr>
          <w:b/>
          <w:color w:val="FF0000"/>
          <w:sz w:val="18"/>
          <w:szCs w:val="18"/>
        </w:rPr>
      </w:pPr>
      <w:r w:rsidRPr="00F44F64">
        <w:rPr>
          <w:b/>
          <w:color w:val="FF0000"/>
          <w:sz w:val="18"/>
          <w:szCs w:val="18"/>
        </w:rPr>
        <w:t>В СЛУЧАЕ ПОЖАРА ИЛИ ПОЯВЛЕНИЯ ДЫМА  НЕМЕДЛЕННО СООБЩИТЕ ПО ТЕЛЕФОНУ  –«101», «112», УКАЗАВ ТОЧНЫЙ АДРЕС.</w:t>
      </w:r>
    </w:p>
    <w:p w:rsidR="00F44F64" w:rsidRPr="00F44F64" w:rsidRDefault="00F44F64" w:rsidP="00F44F64">
      <w:pPr>
        <w:pStyle w:val="afff1"/>
        <w:rPr>
          <w:b/>
          <w:color w:val="FF0000"/>
          <w:sz w:val="18"/>
          <w:szCs w:val="18"/>
        </w:rPr>
      </w:pPr>
      <w:r w:rsidRPr="00F44F64">
        <w:rPr>
          <w:b/>
          <w:bCs/>
          <w:color w:val="000000"/>
          <w:sz w:val="18"/>
          <w:szCs w:val="18"/>
        </w:rPr>
        <w:t xml:space="preserve">                                                Вызов ложный, а штраф реальный!!!</w:t>
      </w:r>
    </w:p>
    <w:p w:rsidR="00F44F64" w:rsidRPr="00F44F64" w:rsidRDefault="00F44F64" w:rsidP="00F44F64">
      <w:pPr>
        <w:pStyle w:val="ae"/>
        <w:spacing w:before="0" w:beforeAutospacing="0" w:after="0" w:afterAutospacing="0"/>
        <w:rPr>
          <w:sz w:val="18"/>
          <w:szCs w:val="18"/>
        </w:rPr>
      </w:pPr>
      <w:r w:rsidRPr="00F44F64">
        <w:rPr>
          <w:sz w:val="18"/>
          <w:szCs w:val="18"/>
        </w:rPr>
        <w:t xml:space="preserve">Пожарная охрана – одна из самых быстро реагирующих организаций, так как скорость распространения огня бывает столь высока, что никаких промедлений быть не может. Ответственность перед бригадами пожарных у населения должна быть достаточно велика. Все знают, что при обнаружении пожара  надо звонить незамедлительно. И если бдительный гражданин вызывает пожарных, ошибочно приняв дым от сгоревшей еды в столовой, отблеск заходящего солнца на берегу реки за пламя, это, конечно, вызывает возмущение. Но ещё большее возмущение  заслуживают те, кто совершает ложный вызов намеренно. Такие игры человеческими жизнями недопустимы. </w:t>
      </w:r>
      <w:r w:rsidRPr="00F44F64">
        <w:rPr>
          <w:bCs/>
          <w:sz w:val="18"/>
          <w:szCs w:val="18"/>
        </w:rPr>
        <w:t>Не стоит забывать, что цена ложного вызова измеряется не только в денежном эквиваленте, это, в первую очередь, жизнь и благополучие людей, и может коснуться каждого из нас.</w:t>
      </w:r>
    </w:p>
    <w:p w:rsidR="00F44F64" w:rsidRPr="00F44F64" w:rsidRDefault="00F44F64" w:rsidP="00F44F64">
      <w:pPr>
        <w:pStyle w:val="ae"/>
        <w:spacing w:before="0" w:beforeAutospacing="0" w:after="240" w:afterAutospacing="0" w:line="264" w:lineRule="atLeast"/>
        <w:jc w:val="both"/>
        <w:rPr>
          <w:color w:val="C00000"/>
          <w:sz w:val="18"/>
          <w:szCs w:val="18"/>
        </w:rPr>
      </w:pPr>
      <w:r w:rsidRPr="00F44F64">
        <w:rPr>
          <w:b/>
          <w:color w:val="C00000"/>
          <w:sz w:val="18"/>
          <w:szCs w:val="18"/>
        </w:rPr>
        <w:t>ПРЕДУПРЕЖДАЕМ!</w:t>
      </w:r>
      <w:r w:rsidRPr="00F44F64">
        <w:rPr>
          <w:color w:val="C00000"/>
          <w:sz w:val="18"/>
          <w:szCs w:val="18"/>
        </w:rPr>
        <w:t xml:space="preserve"> Все телефоны экстренных служб оснащены системой автоматической записи разговоров. Вас обязательно найдут и привлекут к ответственности.</w:t>
      </w:r>
    </w:p>
    <w:p w:rsidR="00F44F64" w:rsidRPr="00F44F64" w:rsidRDefault="00F44F64" w:rsidP="00F44F64">
      <w:pPr>
        <w:jc w:val="center"/>
        <w:rPr>
          <w:b/>
          <w:color w:val="FF0000"/>
          <w:sz w:val="18"/>
          <w:szCs w:val="18"/>
        </w:rPr>
      </w:pPr>
      <w:r w:rsidRPr="00F44F64">
        <w:rPr>
          <w:b/>
          <w:color w:val="FF0000"/>
          <w:sz w:val="18"/>
          <w:szCs w:val="18"/>
        </w:rPr>
        <w:t>Казённое  учреждение Ханты-Мансийского автономного округа-Югры</w:t>
      </w:r>
    </w:p>
    <w:p w:rsidR="00F44F64" w:rsidRPr="00F44F64" w:rsidRDefault="00F44F64" w:rsidP="00F44F64">
      <w:pPr>
        <w:ind w:firstLine="900"/>
        <w:jc w:val="center"/>
        <w:rPr>
          <w:b/>
          <w:color w:val="FF0000"/>
          <w:sz w:val="18"/>
          <w:szCs w:val="18"/>
        </w:rPr>
      </w:pPr>
      <w:r w:rsidRPr="00F44F64">
        <w:rPr>
          <w:b/>
          <w:color w:val="FF0000"/>
          <w:sz w:val="18"/>
          <w:szCs w:val="18"/>
        </w:rPr>
        <w:t>«</w:t>
      </w:r>
      <w:proofErr w:type="spellStart"/>
      <w:r w:rsidRPr="00F44F64">
        <w:rPr>
          <w:b/>
          <w:color w:val="FF0000"/>
          <w:sz w:val="18"/>
          <w:szCs w:val="18"/>
        </w:rPr>
        <w:t>Центроспас</w:t>
      </w:r>
      <w:proofErr w:type="spellEnd"/>
      <w:r w:rsidRPr="00F44F64">
        <w:rPr>
          <w:b/>
          <w:color w:val="FF0000"/>
          <w:sz w:val="18"/>
          <w:szCs w:val="18"/>
        </w:rPr>
        <w:t xml:space="preserve"> - </w:t>
      </w:r>
      <w:proofErr w:type="spellStart"/>
      <w:r w:rsidRPr="00F44F64">
        <w:rPr>
          <w:b/>
          <w:color w:val="FF0000"/>
          <w:sz w:val="18"/>
          <w:szCs w:val="18"/>
        </w:rPr>
        <w:t>Югория</w:t>
      </w:r>
      <w:proofErr w:type="spellEnd"/>
      <w:r w:rsidRPr="00F44F64">
        <w:rPr>
          <w:b/>
          <w:color w:val="FF0000"/>
          <w:sz w:val="18"/>
          <w:szCs w:val="18"/>
        </w:rPr>
        <w:t>» напоминает  вам, что соблюдение пожарной безопасности –</w:t>
      </w:r>
    </w:p>
    <w:p w:rsidR="00F44F64" w:rsidRPr="00F44F64" w:rsidRDefault="00F44F64" w:rsidP="00F44F64">
      <w:pPr>
        <w:ind w:firstLine="900"/>
        <w:jc w:val="center"/>
        <w:rPr>
          <w:b/>
          <w:color w:val="FF0000"/>
          <w:sz w:val="18"/>
          <w:szCs w:val="18"/>
        </w:rPr>
      </w:pPr>
      <w:r w:rsidRPr="00F44F64">
        <w:rPr>
          <w:b/>
          <w:color w:val="FF0000"/>
          <w:sz w:val="18"/>
          <w:szCs w:val="18"/>
        </w:rPr>
        <w:t>это залог сохранности Вашей  жизни, здоровья и вашего имущества от огня!</w:t>
      </w:r>
    </w:p>
    <w:p w:rsidR="00F44F64" w:rsidRDefault="00F44F64" w:rsidP="00F44F64">
      <w:pPr>
        <w:jc w:val="both"/>
      </w:pPr>
    </w:p>
    <w:p w:rsidR="00F44F64" w:rsidRDefault="00F44F64" w:rsidP="00F44F64">
      <w:pPr>
        <w:jc w:val="both"/>
      </w:pPr>
    </w:p>
    <w:p w:rsidR="00FF6AA9" w:rsidRPr="00FF6AA9" w:rsidRDefault="00FF6AA9" w:rsidP="00F44F64">
      <w:pPr>
        <w:widowControl w:val="0"/>
        <w:autoSpaceDE w:val="0"/>
        <w:autoSpaceDN w:val="0"/>
        <w:adjustRightInd w:val="0"/>
        <w:jc w:val="both"/>
        <w:rPr>
          <w:kern w:val="2"/>
          <w:sz w:val="18"/>
          <w:szCs w:val="18"/>
        </w:rPr>
      </w:pPr>
      <w:bookmarkStart w:id="3" w:name="_GoBack"/>
      <w:bookmarkEnd w:id="3"/>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20"/>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0E" w:rsidRDefault="004E760E">
      <w:r>
        <w:separator/>
      </w:r>
    </w:p>
  </w:endnote>
  <w:endnote w:type="continuationSeparator" w:id="0">
    <w:p w:rsidR="004E760E" w:rsidRDefault="004E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F44F64">
          <w:rPr>
            <w:noProof/>
          </w:rPr>
          <w:t>3</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0E" w:rsidRDefault="004E760E">
      <w:r>
        <w:separator/>
      </w:r>
    </w:p>
  </w:footnote>
  <w:footnote w:type="continuationSeparator" w:id="0">
    <w:p w:rsidR="004E760E" w:rsidRDefault="004E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4E760E"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F44F64">
      <w:t xml:space="preserve">                           №  30     5  мая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8">
    <w:nsid w:val="3D657C72"/>
    <w:multiLevelType w:val="hybridMultilevel"/>
    <w:tmpl w:val="06AE84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0">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2">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1">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2">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3">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9">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70">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61"/>
  </w:num>
  <w:num w:numId="4">
    <w:abstractNumId w:val="65"/>
  </w:num>
  <w:num w:numId="5">
    <w:abstractNumId w:val="29"/>
  </w:num>
  <w:num w:numId="6">
    <w:abstractNumId w:val="68"/>
  </w:num>
  <w:num w:numId="7">
    <w:abstractNumId w:val="42"/>
  </w:num>
  <w:num w:numId="8">
    <w:abstractNumId w:val="22"/>
  </w:num>
  <w:num w:numId="9">
    <w:abstractNumId w:val="60"/>
  </w:num>
  <w:num w:numId="10">
    <w:abstractNumId w:val="56"/>
  </w:num>
  <w:num w:numId="11">
    <w:abstractNumId w:val="57"/>
  </w:num>
  <w:num w:numId="12">
    <w:abstractNumId w:val="51"/>
  </w:num>
  <w:num w:numId="13">
    <w:abstractNumId w:val="6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34"/>
  </w:num>
  <w:num w:numId="18">
    <w:abstractNumId w:val="67"/>
  </w:num>
  <w:num w:numId="19">
    <w:abstractNumId w:val="50"/>
  </w:num>
  <w:num w:numId="20">
    <w:abstractNumId w:val="38"/>
  </w:num>
  <w:num w:numId="21">
    <w:abstractNumId w:val="58"/>
  </w:num>
  <w:num w:numId="22">
    <w:abstractNumId w:val="40"/>
  </w:num>
  <w:num w:numId="23">
    <w:abstractNumId w:val="32"/>
  </w:num>
  <w:num w:numId="24">
    <w:abstractNumId w:val="43"/>
  </w:num>
  <w:num w:numId="25">
    <w:abstractNumId w:val="63"/>
  </w:num>
  <w:num w:numId="26">
    <w:abstractNumId w:val="54"/>
  </w:num>
  <w:num w:numId="27">
    <w:abstractNumId w:val="39"/>
  </w:num>
  <w:num w:numId="28">
    <w:abstractNumId w:val="23"/>
  </w:num>
  <w:num w:numId="29">
    <w:abstractNumId w:val="44"/>
  </w:num>
  <w:num w:numId="30">
    <w:abstractNumId w:val="66"/>
  </w:num>
  <w:num w:numId="31">
    <w:abstractNumId w:val="55"/>
  </w:num>
  <w:num w:numId="32">
    <w:abstractNumId w:val="59"/>
  </w:num>
  <w:num w:numId="33">
    <w:abstractNumId w:val="28"/>
  </w:num>
  <w:num w:numId="34">
    <w:abstractNumId w:val="19"/>
  </w:num>
  <w:num w:numId="35">
    <w:abstractNumId w:val="64"/>
  </w:num>
  <w:num w:numId="36">
    <w:abstractNumId w:val="26"/>
  </w:num>
  <w:num w:numId="37">
    <w:abstractNumId w:val="41"/>
  </w:num>
  <w:num w:numId="38">
    <w:abstractNumId w:val="45"/>
  </w:num>
  <w:num w:numId="39">
    <w:abstractNumId w:val="46"/>
  </w:num>
  <w:num w:numId="40">
    <w:abstractNumId w:val="37"/>
  </w:num>
  <w:num w:numId="41">
    <w:abstractNumId w:val="2"/>
  </w:num>
  <w:num w:numId="42">
    <w:abstractNumId w:val="1"/>
  </w:num>
  <w:num w:numId="43">
    <w:abstractNumId w:val="27"/>
  </w:num>
  <w:num w:numId="44">
    <w:abstractNumId w:val="53"/>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33"/>
  </w:num>
  <w:num w:numId="57">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2EA8-EC3A-4AA3-A0B7-50E05AE9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14</cp:revision>
  <cp:lastPrinted>2015-07-31T09:23:00Z</cp:lastPrinted>
  <dcterms:created xsi:type="dcterms:W3CDTF">2022-03-30T11:52:00Z</dcterms:created>
  <dcterms:modified xsi:type="dcterms:W3CDTF">2022-05-11T07:31:00Z</dcterms:modified>
</cp:coreProperties>
</file>