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2E" w:rsidRPr="00BD3114" w:rsidRDefault="00BD3114" w:rsidP="00BD3114">
      <w:pPr>
        <w:spacing w:after="0" w:line="240" w:lineRule="auto"/>
        <w:jc w:val="center"/>
        <w:rPr>
          <w:rFonts w:ascii="Times New Roman" w:hAnsi="Times New Roman" w:cs="Times New Roman"/>
          <w:sz w:val="24"/>
          <w:szCs w:val="24"/>
        </w:rPr>
      </w:pPr>
      <w:r w:rsidRPr="00BD3114">
        <w:rPr>
          <w:rFonts w:ascii="Times New Roman" w:hAnsi="Times New Roman" w:cs="Times New Roman"/>
          <w:sz w:val="24"/>
          <w:szCs w:val="24"/>
        </w:rPr>
        <w:t>Извещение об аукционе</w:t>
      </w:r>
    </w:p>
    <w:p w:rsidR="00BD3114" w:rsidRPr="00BD3114" w:rsidRDefault="00BD3114" w:rsidP="00BD3114">
      <w:pPr>
        <w:spacing w:after="0" w:line="240" w:lineRule="auto"/>
        <w:jc w:val="center"/>
        <w:rPr>
          <w:rFonts w:ascii="Times New Roman" w:hAnsi="Times New Roman"/>
          <w:sz w:val="24"/>
          <w:szCs w:val="24"/>
        </w:rPr>
      </w:pPr>
      <w:r w:rsidRPr="00BD3114">
        <w:rPr>
          <w:rFonts w:ascii="Times New Roman" w:hAnsi="Times New Roman"/>
          <w:sz w:val="24"/>
          <w:szCs w:val="24"/>
        </w:rPr>
        <w:t xml:space="preserve">на право заключения договора </w:t>
      </w:r>
    </w:p>
    <w:p w:rsidR="00BD3114" w:rsidRPr="00BD3114" w:rsidRDefault="00BD3114" w:rsidP="00BD3114">
      <w:pPr>
        <w:spacing w:after="0" w:line="240" w:lineRule="auto"/>
        <w:jc w:val="center"/>
        <w:rPr>
          <w:rFonts w:ascii="Times New Roman" w:hAnsi="Times New Roman"/>
          <w:sz w:val="24"/>
          <w:szCs w:val="24"/>
        </w:rPr>
      </w:pPr>
      <w:r w:rsidRPr="00BD3114">
        <w:rPr>
          <w:rFonts w:ascii="Times New Roman" w:hAnsi="Times New Roman"/>
          <w:sz w:val="24"/>
          <w:szCs w:val="24"/>
        </w:rPr>
        <w:t>аренды по объектам нежилых помещений муниципального имущества городского поселения Агириш</w:t>
      </w:r>
    </w:p>
    <w:p w:rsidR="00BD3114" w:rsidRDefault="00BD3114" w:rsidP="00BD3114">
      <w:pPr>
        <w:spacing w:after="0" w:line="240" w:lineRule="auto"/>
        <w:jc w:val="center"/>
        <w:rPr>
          <w:rFonts w:ascii="Times New Roman" w:hAnsi="Times New Roman"/>
          <w:sz w:val="24"/>
          <w:szCs w:val="24"/>
        </w:rPr>
      </w:pPr>
      <w:r w:rsidRPr="00BD3114">
        <w:rPr>
          <w:rFonts w:ascii="Times New Roman" w:hAnsi="Times New Roman"/>
          <w:sz w:val="24"/>
          <w:szCs w:val="24"/>
        </w:rPr>
        <w:t>в электронной форме</w:t>
      </w:r>
    </w:p>
    <w:p w:rsidR="00BD3114" w:rsidRPr="00BD3114" w:rsidRDefault="00BD3114" w:rsidP="00BD3114">
      <w:pPr>
        <w:spacing w:after="0" w:line="240" w:lineRule="auto"/>
        <w:jc w:val="center"/>
        <w:rPr>
          <w:rFonts w:ascii="Times New Roman" w:hAnsi="Times New Roman"/>
          <w:sz w:val="24"/>
          <w:szCs w:val="24"/>
        </w:rPr>
      </w:pPr>
    </w:p>
    <w:tbl>
      <w:tblPr>
        <w:tblStyle w:val="a3"/>
        <w:tblW w:w="0" w:type="auto"/>
        <w:tblLook w:val="04A0"/>
      </w:tblPr>
      <w:tblGrid>
        <w:gridCol w:w="2540"/>
        <w:gridCol w:w="2815"/>
        <w:gridCol w:w="4216"/>
      </w:tblGrid>
      <w:tr w:rsidR="00BD3114" w:rsidRPr="004207EA" w:rsidTr="00BD3114">
        <w:tc>
          <w:tcPr>
            <w:tcW w:w="9571" w:type="dxa"/>
            <w:gridSpan w:val="3"/>
            <w:shd w:val="clear" w:color="auto" w:fill="FFFFCC"/>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b/>
                <w:sz w:val="24"/>
                <w:szCs w:val="24"/>
              </w:rPr>
              <w:t>Сведения о процедуре</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Тип процедуры</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Аукцион </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Наименование процедуры</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Аукцион на право заключения договор</w:t>
            </w:r>
            <w:r>
              <w:rPr>
                <w:rFonts w:ascii="Times New Roman" w:hAnsi="Times New Roman"/>
                <w:sz w:val="24"/>
                <w:szCs w:val="24"/>
              </w:rPr>
              <w:t>ов</w:t>
            </w:r>
            <w:r w:rsidRPr="004207EA">
              <w:rPr>
                <w:rFonts w:ascii="Times New Roman" w:hAnsi="Times New Roman"/>
                <w:sz w:val="24"/>
                <w:szCs w:val="24"/>
              </w:rPr>
              <w:t xml:space="preserve"> аренды </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Адрес электронной площадки в сети «Интернет»</w:t>
            </w:r>
          </w:p>
        </w:tc>
        <w:tc>
          <w:tcPr>
            <w:tcW w:w="7031" w:type="dxa"/>
            <w:gridSpan w:val="2"/>
          </w:tcPr>
          <w:p w:rsidR="00BD3114" w:rsidRPr="004207EA" w:rsidRDefault="00BD3114" w:rsidP="00BB61D9">
            <w:pPr>
              <w:widowControl w:val="0"/>
              <w:jc w:val="both"/>
              <w:rPr>
                <w:rFonts w:ascii="Times New Roman" w:hAnsi="Times New Roman"/>
                <w:sz w:val="24"/>
                <w:szCs w:val="24"/>
              </w:rPr>
            </w:pPr>
            <w:hyperlink r:id="rId4" w:history="1">
              <w:r w:rsidRPr="004207EA">
                <w:rPr>
                  <w:rStyle w:val="a4"/>
                  <w:rFonts w:ascii="Times New Roman" w:hAnsi="Times New Roman"/>
                  <w:sz w:val="24"/>
                  <w:szCs w:val="24"/>
                  <w:lang w:val="en-US"/>
                </w:rPr>
                <w:t>http</w:t>
              </w:r>
              <w:r w:rsidRPr="004207EA">
                <w:rPr>
                  <w:rStyle w:val="a4"/>
                  <w:rFonts w:ascii="Times New Roman" w:hAnsi="Times New Roman"/>
                  <w:sz w:val="24"/>
                  <w:szCs w:val="24"/>
                </w:rPr>
                <w:t>://</w:t>
              </w:r>
              <w:proofErr w:type="spellStart"/>
              <w:r w:rsidRPr="004207EA">
                <w:rPr>
                  <w:rStyle w:val="a4"/>
                  <w:rFonts w:ascii="Times New Roman" w:hAnsi="Times New Roman"/>
                  <w:sz w:val="24"/>
                  <w:szCs w:val="24"/>
                  <w:lang w:val="en-US"/>
                </w:rPr>
                <w:t>utp</w:t>
              </w:r>
              <w:proofErr w:type="spellEnd"/>
              <w:r w:rsidRPr="004207EA">
                <w:rPr>
                  <w:rStyle w:val="a4"/>
                  <w:rFonts w:ascii="Times New Roman" w:hAnsi="Times New Roman"/>
                  <w:sz w:val="24"/>
                  <w:szCs w:val="24"/>
                </w:rPr>
                <w:t>.</w:t>
              </w:r>
              <w:proofErr w:type="spellStart"/>
              <w:r w:rsidRPr="004207EA">
                <w:rPr>
                  <w:rStyle w:val="a4"/>
                  <w:rFonts w:ascii="Times New Roman" w:hAnsi="Times New Roman"/>
                  <w:sz w:val="24"/>
                  <w:szCs w:val="24"/>
                  <w:lang w:val="en-US"/>
                </w:rPr>
                <w:t>sberbank</w:t>
              </w:r>
              <w:proofErr w:type="spellEnd"/>
              <w:r w:rsidRPr="004207EA">
                <w:rPr>
                  <w:rStyle w:val="a4"/>
                  <w:rFonts w:ascii="Times New Roman" w:hAnsi="Times New Roman"/>
                  <w:sz w:val="24"/>
                  <w:szCs w:val="24"/>
                </w:rPr>
                <w:t>-</w:t>
              </w:r>
              <w:proofErr w:type="spellStart"/>
              <w:r w:rsidRPr="004207EA">
                <w:rPr>
                  <w:rStyle w:val="a4"/>
                  <w:rFonts w:ascii="Times New Roman" w:hAnsi="Times New Roman"/>
                  <w:sz w:val="24"/>
                  <w:szCs w:val="24"/>
                  <w:lang w:val="en-US"/>
                </w:rPr>
                <w:t>ast</w:t>
              </w:r>
              <w:proofErr w:type="spellEnd"/>
              <w:r w:rsidRPr="004207EA">
                <w:rPr>
                  <w:rStyle w:val="a4"/>
                  <w:rFonts w:ascii="Times New Roman" w:hAnsi="Times New Roman"/>
                  <w:sz w:val="24"/>
                  <w:szCs w:val="24"/>
                </w:rPr>
                <w:t>.</w:t>
              </w:r>
              <w:r w:rsidRPr="004207EA">
                <w:rPr>
                  <w:rStyle w:val="a4"/>
                  <w:rFonts w:ascii="Times New Roman" w:hAnsi="Times New Roman"/>
                  <w:sz w:val="24"/>
                  <w:szCs w:val="24"/>
                  <w:lang w:val="en-US"/>
                </w:rPr>
                <w:t>ru</w:t>
              </w:r>
              <w:r w:rsidRPr="004207EA">
                <w:rPr>
                  <w:rStyle w:val="a4"/>
                  <w:rFonts w:ascii="Times New Roman" w:hAnsi="Times New Roman"/>
                  <w:sz w:val="24"/>
                  <w:szCs w:val="24"/>
                </w:rPr>
                <w:t>/</w:t>
              </w:r>
              <w:r w:rsidRPr="004207EA">
                <w:rPr>
                  <w:rStyle w:val="a4"/>
                  <w:rFonts w:ascii="Times New Roman" w:hAnsi="Times New Roman"/>
                  <w:sz w:val="24"/>
                  <w:szCs w:val="24"/>
                  <w:lang w:val="en-US"/>
                </w:rPr>
                <w:t>AP</w:t>
              </w:r>
              <w:r w:rsidRPr="004207EA">
                <w:rPr>
                  <w:rStyle w:val="a4"/>
                  <w:rFonts w:ascii="Times New Roman" w:hAnsi="Times New Roman"/>
                  <w:sz w:val="24"/>
                  <w:szCs w:val="24"/>
                </w:rPr>
                <w:t>/</w:t>
              </w:r>
            </w:hyperlink>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Сайт Организатора процедуры в сети «Интернет»</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7A1080">
              <w:rPr>
                <w:rFonts w:ascii="Times New Roman" w:hAnsi="Times New Roman"/>
                <w:color w:val="0000FF"/>
                <w:sz w:val="24"/>
                <w:szCs w:val="24"/>
                <w:u w:val="single"/>
              </w:rPr>
              <w:t>https://agirish.sovrnhmao.ru/</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Порядок регистрации Претендентов на электронной площадке, правила проведения процедуры</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Определены в регламенте Торговой секции «Приватизация, аренда и продажа прав» (далее – ТС) электронной площадки (далее – ЭП)</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Сведения об Организаторе процедуры</w:t>
            </w:r>
          </w:p>
          <w:p w:rsidR="00BD3114" w:rsidRPr="004207EA" w:rsidRDefault="00BD3114" w:rsidP="00BB61D9">
            <w:pPr>
              <w:widowControl w:val="0"/>
              <w:rPr>
                <w:rFonts w:ascii="Times New Roman" w:hAnsi="Times New Roman"/>
                <w:sz w:val="24"/>
                <w:szCs w:val="24"/>
              </w:rPr>
            </w:pPr>
          </w:p>
        </w:tc>
        <w:tc>
          <w:tcPr>
            <w:tcW w:w="7031" w:type="dxa"/>
            <w:gridSpan w:val="2"/>
          </w:tcPr>
          <w:p w:rsidR="00BD3114" w:rsidRDefault="00BD3114" w:rsidP="00BB61D9">
            <w:pPr>
              <w:pStyle w:val="Standard"/>
              <w:jc w:val="both"/>
              <w:rPr>
                <w:rFonts w:hint="eastAsia"/>
              </w:rPr>
            </w:pPr>
            <w:r>
              <w:t>Администрация городского поселения Агириш,</w:t>
            </w:r>
          </w:p>
          <w:p w:rsidR="00BD3114" w:rsidRPr="004207EA" w:rsidRDefault="00BD3114" w:rsidP="00BB61D9">
            <w:pPr>
              <w:pStyle w:val="Standard"/>
              <w:jc w:val="both"/>
              <w:rPr>
                <w:rFonts w:ascii="Times New Roman" w:hAnsi="Times New Roman" w:cs="Times New Roman"/>
              </w:rPr>
            </w:pPr>
            <w:r w:rsidRPr="004207EA">
              <w:rPr>
                <w:rFonts w:ascii="Times New Roman" w:hAnsi="Times New Roman" w:cs="Times New Roman"/>
              </w:rPr>
              <w:t>ИНН 86</w:t>
            </w:r>
            <w:r>
              <w:rPr>
                <w:rFonts w:ascii="Times New Roman" w:hAnsi="Times New Roman" w:cs="Times New Roman"/>
              </w:rPr>
              <w:t>22012077</w:t>
            </w:r>
            <w:r w:rsidRPr="004207EA">
              <w:rPr>
                <w:rFonts w:ascii="Times New Roman" w:hAnsi="Times New Roman" w:cs="Times New Roman"/>
              </w:rPr>
              <w:t xml:space="preserve">, КПП </w:t>
            </w:r>
            <w:r>
              <w:t>861501001</w:t>
            </w:r>
            <w:r w:rsidRPr="004207EA">
              <w:rPr>
                <w:rFonts w:ascii="Times New Roman" w:hAnsi="Times New Roman" w:cs="Times New Roman"/>
              </w:rPr>
              <w:t>,</w:t>
            </w:r>
          </w:p>
          <w:p w:rsidR="00BD3114" w:rsidRPr="004207EA" w:rsidRDefault="00BD3114" w:rsidP="00BB61D9">
            <w:pPr>
              <w:pStyle w:val="TableContents"/>
              <w:jc w:val="both"/>
              <w:rPr>
                <w:rFonts w:ascii="Times New Roman" w:hAnsi="Times New Roman" w:cs="Times New Roman"/>
              </w:rPr>
            </w:pPr>
            <w:r w:rsidRPr="004207EA">
              <w:rPr>
                <w:rFonts w:ascii="Times New Roman" w:hAnsi="Times New Roman" w:cs="Times New Roman"/>
              </w:rPr>
              <w:t xml:space="preserve">Юридический адрес: </w:t>
            </w:r>
            <w:r w:rsidRPr="004C0D9A">
              <w:t xml:space="preserve">628245, Тюменская область, Ханты-Мансийский автономный округ – Югра, Советский район, </w:t>
            </w:r>
            <w:proofErr w:type="gramStart"/>
            <w:r w:rsidRPr="004C0D9A">
              <w:t>г</w:t>
            </w:r>
            <w:proofErr w:type="gramEnd"/>
            <w:r w:rsidRPr="004C0D9A">
              <w:t>.п. Агириш, ул. Винницкая, д. 16.</w:t>
            </w:r>
          </w:p>
          <w:p w:rsidR="00BD3114" w:rsidRPr="004207EA" w:rsidRDefault="00BD3114" w:rsidP="00BB61D9">
            <w:pPr>
              <w:pStyle w:val="TableContents"/>
              <w:jc w:val="both"/>
              <w:rPr>
                <w:rFonts w:ascii="Times New Roman" w:hAnsi="Times New Roman" w:cs="Times New Roman"/>
              </w:rPr>
            </w:pPr>
            <w:proofErr w:type="gramStart"/>
            <w:r w:rsidRPr="004207EA">
              <w:rPr>
                <w:rFonts w:ascii="Times New Roman" w:hAnsi="Times New Roman" w:cs="Times New Roman"/>
              </w:rPr>
              <w:t xml:space="preserve">Фактический (почтовый) адрес: </w:t>
            </w:r>
            <w:r w:rsidRPr="004C0D9A">
              <w:t>628245, Тюменская область, Ханты-Мансийский автономный округ – Югра, Советский район, г.п.</w:t>
            </w:r>
            <w:proofErr w:type="gramEnd"/>
            <w:r w:rsidRPr="004C0D9A">
              <w:t xml:space="preserve"> Агириш, ул. Винницкая, д. 16.</w:t>
            </w:r>
          </w:p>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 xml:space="preserve">Контактное лицо: </w:t>
            </w:r>
            <w:r>
              <w:rPr>
                <w:rFonts w:ascii="Times New Roman" w:hAnsi="Times New Roman"/>
                <w:sz w:val="24"/>
                <w:szCs w:val="24"/>
              </w:rPr>
              <w:t>Самохвалова Маргарита Александровна</w:t>
            </w:r>
          </w:p>
          <w:p w:rsidR="00BD3114" w:rsidRDefault="00BD3114" w:rsidP="00BB61D9">
            <w:pPr>
              <w:widowControl w:val="0"/>
              <w:jc w:val="both"/>
              <w:rPr>
                <w:rFonts w:ascii="Arial" w:hAnsi="Arial" w:cs="Arial"/>
                <w:b/>
                <w:bCs/>
                <w:color w:val="2C363A"/>
                <w:sz w:val="21"/>
                <w:szCs w:val="21"/>
                <w:shd w:val="clear" w:color="auto" w:fill="F4F4F4"/>
              </w:rPr>
            </w:pPr>
            <w:r w:rsidRPr="008251D9">
              <w:rPr>
                <w:rFonts w:ascii="Times New Roman" w:hAnsi="Times New Roman"/>
                <w:sz w:val="24"/>
                <w:szCs w:val="24"/>
              </w:rPr>
              <w:t xml:space="preserve">Адрес электронной почты: </w:t>
            </w:r>
            <w:r w:rsidRPr="007A1080">
              <w:rPr>
                <w:rFonts w:ascii="Times New Roman" w:hAnsi="Times New Roman"/>
                <w:bCs/>
                <w:sz w:val="24"/>
                <w:szCs w:val="24"/>
              </w:rPr>
              <w:t>agirish@sovrnhmao.ru</w:t>
            </w:r>
          </w:p>
          <w:p w:rsidR="00BD3114" w:rsidRPr="004207EA" w:rsidRDefault="00BD3114" w:rsidP="00BB61D9">
            <w:pPr>
              <w:widowControl w:val="0"/>
              <w:jc w:val="both"/>
              <w:rPr>
                <w:rFonts w:ascii="Times New Roman" w:hAnsi="Times New Roman"/>
                <w:sz w:val="24"/>
                <w:szCs w:val="24"/>
              </w:rPr>
            </w:pPr>
            <w:r w:rsidRPr="008251D9">
              <w:rPr>
                <w:rFonts w:ascii="Times New Roman" w:hAnsi="Times New Roman"/>
                <w:sz w:val="24"/>
                <w:szCs w:val="24"/>
              </w:rPr>
              <w:t>Контактный телефон:</w:t>
            </w:r>
            <w:r w:rsidRPr="004207EA">
              <w:rPr>
                <w:rFonts w:ascii="Times New Roman" w:hAnsi="Times New Roman"/>
                <w:sz w:val="24"/>
                <w:szCs w:val="24"/>
              </w:rPr>
              <w:t xml:space="preserve"> </w:t>
            </w:r>
            <w:r>
              <w:rPr>
                <w:rFonts w:ascii="Times New Roman" w:hAnsi="Times New Roman"/>
                <w:sz w:val="24"/>
                <w:szCs w:val="24"/>
              </w:rPr>
              <w:t>8-34675-4-10-09</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Нормативное регулирование</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Федеральный закон от 26.07.2006 № 135-ФЗ «О защите конкуренции».</w:t>
            </w:r>
          </w:p>
          <w:p w:rsidR="00BD3114" w:rsidRPr="004207EA" w:rsidRDefault="00BD3114" w:rsidP="00BB61D9">
            <w:pPr>
              <w:widowControl w:val="0"/>
              <w:jc w:val="both"/>
              <w:rPr>
                <w:rFonts w:ascii="Times New Roman" w:hAnsi="Times New Roman"/>
                <w:sz w:val="24"/>
                <w:szCs w:val="24"/>
              </w:rPr>
            </w:pPr>
            <w:proofErr w:type="gramStart"/>
            <w:r w:rsidRPr="004207EA">
              <w:rPr>
                <w:rFonts w:ascii="Times New Roman" w:hAnsi="Times New Roman"/>
                <w:sz w:val="24"/>
                <w:szCs w:val="24"/>
              </w:rPr>
              <w:t>Приказ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D3114" w:rsidRPr="004207EA" w:rsidRDefault="00BD3114" w:rsidP="00BB61D9">
            <w:pPr>
              <w:widowControl w:val="0"/>
              <w:jc w:val="both"/>
              <w:rPr>
                <w:rFonts w:ascii="Times New Roman" w:hAnsi="Times New Roman"/>
                <w:sz w:val="24"/>
                <w:szCs w:val="24"/>
              </w:rPr>
            </w:pPr>
          </w:p>
        </w:tc>
      </w:tr>
      <w:tr w:rsidR="00BD3114" w:rsidRPr="004207EA" w:rsidTr="00BD3114">
        <w:tc>
          <w:tcPr>
            <w:tcW w:w="2540" w:type="dxa"/>
          </w:tcPr>
          <w:p w:rsidR="00BD3114" w:rsidRPr="00161A34" w:rsidRDefault="00BD3114" w:rsidP="00BB61D9">
            <w:pPr>
              <w:widowControl w:val="0"/>
              <w:rPr>
                <w:rFonts w:ascii="Times New Roman" w:hAnsi="Times New Roman"/>
                <w:sz w:val="24"/>
                <w:szCs w:val="24"/>
              </w:rPr>
            </w:pPr>
            <w:r w:rsidRPr="00161A34">
              <w:rPr>
                <w:rFonts w:ascii="Times New Roman" w:hAnsi="Times New Roman"/>
                <w:sz w:val="24"/>
                <w:szCs w:val="24"/>
              </w:rPr>
              <w:t>Порядок, дата и время окончания срока подачи заявок на участие в аукционе</w:t>
            </w:r>
          </w:p>
        </w:tc>
        <w:tc>
          <w:tcPr>
            <w:tcW w:w="7031" w:type="dxa"/>
            <w:gridSpan w:val="2"/>
          </w:tcPr>
          <w:p w:rsidR="00BD3114" w:rsidRPr="00161A34" w:rsidRDefault="00BD3114" w:rsidP="00BB61D9">
            <w:pPr>
              <w:widowControl w:val="0"/>
              <w:jc w:val="both"/>
              <w:rPr>
                <w:rFonts w:ascii="Times New Roman" w:hAnsi="Times New Roman"/>
                <w:sz w:val="24"/>
                <w:szCs w:val="24"/>
              </w:rPr>
            </w:pPr>
            <w:r w:rsidRPr="00706987">
              <w:rPr>
                <w:rFonts w:ascii="Times New Roman" w:hAnsi="Times New Roman"/>
                <w:color w:val="000000" w:themeColor="text1"/>
                <w:sz w:val="24"/>
                <w:szCs w:val="24"/>
              </w:rPr>
              <w:t xml:space="preserve">Местом подачи заявок на участие в аукционе является электронная площадка. Заявки на участие в аукционе принимаются с </w:t>
            </w:r>
            <w:r>
              <w:rPr>
                <w:rFonts w:ascii="Times New Roman" w:hAnsi="Times New Roman"/>
                <w:color w:val="000000" w:themeColor="text1"/>
                <w:sz w:val="24"/>
                <w:szCs w:val="24"/>
              </w:rPr>
              <w:t>19</w:t>
            </w:r>
            <w:r w:rsidRPr="00706987">
              <w:rPr>
                <w:rFonts w:ascii="Times New Roman" w:hAnsi="Times New Roman"/>
                <w:color w:val="000000" w:themeColor="text1"/>
                <w:sz w:val="24"/>
                <w:szCs w:val="24"/>
              </w:rPr>
              <w:t>.</w:t>
            </w:r>
            <w:r>
              <w:rPr>
                <w:rFonts w:ascii="Times New Roman" w:hAnsi="Times New Roman"/>
                <w:color w:val="000000" w:themeColor="text1"/>
                <w:sz w:val="24"/>
                <w:szCs w:val="24"/>
              </w:rPr>
              <w:t>11</w:t>
            </w:r>
            <w:r w:rsidRPr="00706987">
              <w:rPr>
                <w:rFonts w:ascii="Times New Roman" w:hAnsi="Times New Roman"/>
                <w:color w:val="000000" w:themeColor="text1"/>
                <w:sz w:val="24"/>
                <w:szCs w:val="24"/>
              </w:rPr>
              <w:t xml:space="preserve">.2024 00:00 (МСК) по </w:t>
            </w:r>
            <w:r>
              <w:rPr>
                <w:rFonts w:ascii="Times New Roman" w:hAnsi="Times New Roman"/>
                <w:color w:val="000000" w:themeColor="text1"/>
                <w:sz w:val="24"/>
                <w:szCs w:val="24"/>
              </w:rPr>
              <w:t>09</w:t>
            </w:r>
            <w:r w:rsidRPr="00706987">
              <w:rPr>
                <w:rFonts w:ascii="Times New Roman" w:hAnsi="Times New Roman"/>
                <w:color w:val="000000" w:themeColor="text1"/>
                <w:sz w:val="24"/>
                <w:szCs w:val="24"/>
              </w:rPr>
              <w:t>.</w:t>
            </w:r>
            <w:r>
              <w:rPr>
                <w:rFonts w:ascii="Times New Roman" w:hAnsi="Times New Roman"/>
                <w:color w:val="000000" w:themeColor="text1"/>
                <w:sz w:val="24"/>
                <w:szCs w:val="24"/>
              </w:rPr>
              <w:t>12</w:t>
            </w:r>
            <w:r w:rsidRPr="00706987">
              <w:rPr>
                <w:rFonts w:ascii="Times New Roman" w:hAnsi="Times New Roman"/>
                <w:color w:val="000000" w:themeColor="text1"/>
                <w:sz w:val="24"/>
                <w:szCs w:val="24"/>
              </w:rPr>
              <w:t xml:space="preserve">.2024 12:00 (МСК) </w:t>
            </w:r>
          </w:p>
        </w:tc>
      </w:tr>
      <w:tr w:rsidR="00BD3114" w:rsidRPr="004207EA" w:rsidTr="00BD3114">
        <w:tc>
          <w:tcPr>
            <w:tcW w:w="2540" w:type="dxa"/>
          </w:tcPr>
          <w:p w:rsidR="00BD3114" w:rsidRPr="00161A34" w:rsidRDefault="00BD3114" w:rsidP="00BB61D9">
            <w:pPr>
              <w:widowControl w:val="0"/>
              <w:rPr>
                <w:rFonts w:ascii="Times New Roman" w:hAnsi="Times New Roman"/>
                <w:sz w:val="24"/>
                <w:szCs w:val="24"/>
              </w:rPr>
            </w:pPr>
            <w:r w:rsidRPr="00161A34">
              <w:rPr>
                <w:rFonts w:ascii="Times New Roman" w:hAnsi="Times New Roman"/>
                <w:sz w:val="24"/>
                <w:szCs w:val="24"/>
              </w:rPr>
              <w:t xml:space="preserve">Уполномоченный представитель организатора </w:t>
            </w:r>
            <w:r w:rsidRPr="00161A34">
              <w:rPr>
                <w:rFonts w:ascii="Times New Roman" w:hAnsi="Times New Roman"/>
                <w:sz w:val="24"/>
                <w:szCs w:val="24"/>
              </w:rPr>
              <w:lastRenderedPageBreak/>
              <w:t>аукциона</w:t>
            </w:r>
          </w:p>
        </w:tc>
        <w:tc>
          <w:tcPr>
            <w:tcW w:w="7031" w:type="dxa"/>
            <w:gridSpan w:val="2"/>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lastRenderedPageBreak/>
              <w:t xml:space="preserve">Контактное лицо: </w:t>
            </w:r>
            <w:r>
              <w:rPr>
                <w:rFonts w:ascii="Times New Roman" w:hAnsi="Times New Roman"/>
                <w:sz w:val="24"/>
                <w:szCs w:val="24"/>
              </w:rPr>
              <w:t>Самохвалова Маргарита Александровна</w:t>
            </w:r>
          </w:p>
          <w:p w:rsidR="00BD3114" w:rsidRDefault="00BD3114" w:rsidP="00BB61D9">
            <w:pPr>
              <w:widowControl w:val="0"/>
              <w:jc w:val="both"/>
              <w:rPr>
                <w:rFonts w:ascii="Arial" w:hAnsi="Arial" w:cs="Arial"/>
                <w:b/>
                <w:bCs/>
                <w:color w:val="2C363A"/>
                <w:sz w:val="21"/>
                <w:szCs w:val="21"/>
                <w:shd w:val="clear" w:color="auto" w:fill="F4F4F4"/>
              </w:rPr>
            </w:pPr>
            <w:r w:rsidRPr="008251D9">
              <w:rPr>
                <w:rFonts w:ascii="Times New Roman" w:hAnsi="Times New Roman"/>
                <w:sz w:val="24"/>
                <w:szCs w:val="24"/>
              </w:rPr>
              <w:t xml:space="preserve">Адрес электронной почты: </w:t>
            </w:r>
            <w:r w:rsidRPr="007A1080">
              <w:rPr>
                <w:rFonts w:ascii="Times New Roman" w:hAnsi="Times New Roman"/>
                <w:bCs/>
                <w:sz w:val="24"/>
                <w:szCs w:val="24"/>
              </w:rPr>
              <w:t>agirish@sovrnhmao.ru</w:t>
            </w:r>
          </w:p>
          <w:p w:rsidR="00BD3114" w:rsidRPr="00161A34" w:rsidRDefault="00BD3114" w:rsidP="00BB61D9">
            <w:pPr>
              <w:widowControl w:val="0"/>
              <w:jc w:val="both"/>
              <w:rPr>
                <w:rFonts w:ascii="Times New Roman" w:hAnsi="Times New Roman"/>
                <w:sz w:val="24"/>
                <w:szCs w:val="24"/>
              </w:rPr>
            </w:pPr>
            <w:r w:rsidRPr="008251D9">
              <w:rPr>
                <w:rFonts w:ascii="Times New Roman" w:hAnsi="Times New Roman"/>
                <w:sz w:val="24"/>
                <w:szCs w:val="24"/>
              </w:rPr>
              <w:t>Контактный телефон:</w:t>
            </w:r>
            <w:r w:rsidRPr="004207EA">
              <w:rPr>
                <w:rFonts w:ascii="Times New Roman" w:hAnsi="Times New Roman"/>
                <w:sz w:val="24"/>
                <w:szCs w:val="24"/>
              </w:rPr>
              <w:t xml:space="preserve"> </w:t>
            </w:r>
            <w:r>
              <w:rPr>
                <w:rFonts w:ascii="Times New Roman" w:hAnsi="Times New Roman"/>
                <w:sz w:val="24"/>
                <w:szCs w:val="24"/>
              </w:rPr>
              <w:t>8-34675-4-10-09</w:t>
            </w:r>
          </w:p>
        </w:tc>
      </w:tr>
      <w:tr w:rsidR="00BD3114" w:rsidRPr="004207EA" w:rsidTr="00BD3114">
        <w:tc>
          <w:tcPr>
            <w:tcW w:w="9571" w:type="dxa"/>
            <w:gridSpan w:val="3"/>
            <w:shd w:val="clear" w:color="auto" w:fill="FFFF99"/>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lastRenderedPageBreak/>
              <w:t>ЛОТ 1</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Место расположения, описание и технические характеристики или муниципального имущества</w:t>
            </w:r>
          </w:p>
        </w:tc>
        <w:tc>
          <w:tcPr>
            <w:tcW w:w="7031" w:type="dxa"/>
            <w:gridSpan w:val="2"/>
          </w:tcPr>
          <w:p w:rsidR="00BD3114" w:rsidRPr="00CB3F22" w:rsidRDefault="00BD3114" w:rsidP="00BB61D9">
            <w:pPr>
              <w:widowControl w:val="0"/>
              <w:jc w:val="both"/>
              <w:rPr>
                <w:rFonts w:ascii="Times New Roman" w:hAnsi="Times New Roman"/>
                <w:sz w:val="24"/>
                <w:szCs w:val="24"/>
              </w:rPr>
            </w:pPr>
            <w:r w:rsidRPr="00CB3F22">
              <w:rPr>
                <w:rFonts w:ascii="Times New Roman" w:hAnsi="Times New Roman"/>
                <w:sz w:val="24"/>
                <w:szCs w:val="24"/>
              </w:rPr>
              <w:t xml:space="preserve">нежилое помещение на первом этаже в здании, общей площадью 43,5 кв.м., расположенное по адресу: </w:t>
            </w:r>
            <w:proofErr w:type="gramStart"/>
            <w:r w:rsidRPr="00CB3F22">
              <w:rPr>
                <w:rFonts w:ascii="Times New Roman" w:hAnsi="Times New Roman"/>
                <w:sz w:val="24"/>
                <w:szCs w:val="24"/>
              </w:rPr>
              <w:t>г</w:t>
            </w:r>
            <w:proofErr w:type="gramEnd"/>
            <w:r w:rsidRPr="00CB3F22">
              <w:rPr>
                <w:rFonts w:ascii="Times New Roman" w:hAnsi="Times New Roman"/>
                <w:sz w:val="24"/>
                <w:szCs w:val="24"/>
              </w:rPr>
              <w:t>.п. Агириш, ул. Винницкая, д.16а</w:t>
            </w:r>
            <w:r>
              <w:rPr>
                <w:rFonts w:ascii="Times New Roman" w:hAnsi="Times New Roman"/>
                <w:sz w:val="24"/>
                <w:szCs w:val="24"/>
              </w:rPr>
              <w:t>.</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Целевое назначение имущества</w:t>
            </w:r>
          </w:p>
        </w:tc>
        <w:tc>
          <w:tcPr>
            <w:tcW w:w="7031" w:type="dxa"/>
            <w:gridSpan w:val="2"/>
          </w:tcPr>
          <w:p w:rsidR="00BD3114" w:rsidRPr="00D52A43" w:rsidRDefault="00BD3114" w:rsidP="00BB61D9">
            <w:pPr>
              <w:widowControl w:val="0"/>
              <w:jc w:val="both"/>
              <w:rPr>
                <w:rFonts w:ascii="Times New Roman" w:hAnsi="Times New Roman"/>
                <w:sz w:val="24"/>
                <w:szCs w:val="24"/>
              </w:rPr>
            </w:pPr>
            <w:r w:rsidRPr="00D52A43">
              <w:rPr>
                <w:rFonts w:ascii="Times New Roman" w:hAnsi="Times New Roman"/>
                <w:sz w:val="24"/>
                <w:szCs w:val="24"/>
              </w:rPr>
              <w:t>под служебное помещение.</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Начальная (минимальная) арендной платы (цена лота)</w:t>
            </w:r>
          </w:p>
        </w:tc>
        <w:tc>
          <w:tcPr>
            <w:tcW w:w="7031" w:type="dxa"/>
            <w:gridSpan w:val="2"/>
          </w:tcPr>
          <w:p w:rsidR="00BD3114" w:rsidRPr="00885135" w:rsidRDefault="00BD3114" w:rsidP="00BB61D9">
            <w:pPr>
              <w:widowControl w:val="0"/>
              <w:jc w:val="both"/>
              <w:rPr>
                <w:rFonts w:ascii="Times New Roman" w:hAnsi="Times New Roman"/>
                <w:sz w:val="24"/>
                <w:szCs w:val="24"/>
                <w:highlight w:val="yellow"/>
              </w:rPr>
            </w:pPr>
            <w:r w:rsidRPr="00763D62">
              <w:rPr>
                <w:rFonts w:ascii="Times New Roman" w:hAnsi="Times New Roman"/>
                <w:sz w:val="24"/>
                <w:szCs w:val="24"/>
              </w:rPr>
              <w:t>6017,35 (шесть тысяч семнадцать руб., 35 коп.)</w:t>
            </w:r>
            <w:r w:rsidRPr="00885135">
              <w:rPr>
                <w:rFonts w:ascii="Times New Roman" w:hAnsi="Times New Roman"/>
                <w:sz w:val="24"/>
                <w:szCs w:val="24"/>
              </w:rPr>
              <w:t xml:space="preserve"> в месяц </w:t>
            </w:r>
            <w:r>
              <w:rPr>
                <w:rFonts w:ascii="Times New Roman" w:hAnsi="Times New Roman"/>
                <w:sz w:val="24"/>
                <w:szCs w:val="24"/>
              </w:rPr>
              <w:t>без</w:t>
            </w:r>
            <w:r w:rsidRPr="00885135">
              <w:rPr>
                <w:rFonts w:ascii="Times New Roman" w:hAnsi="Times New Roman"/>
                <w:sz w:val="24"/>
                <w:szCs w:val="24"/>
              </w:rPr>
              <w:t xml:space="preserve"> учет</w:t>
            </w:r>
            <w:r>
              <w:rPr>
                <w:rFonts w:ascii="Times New Roman" w:hAnsi="Times New Roman"/>
                <w:sz w:val="24"/>
                <w:szCs w:val="24"/>
              </w:rPr>
              <w:t>а</w:t>
            </w:r>
            <w:r w:rsidRPr="00885135">
              <w:rPr>
                <w:rFonts w:ascii="Times New Roman" w:hAnsi="Times New Roman"/>
                <w:sz w:val="24"/>
                <w:szCs w:val="24"/>
              </w:rPr>
              <w:t xml:space="preserve"> налога на добавленную стоимость и коммунальных услуг</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 xml:space="preserve">Срок действия договора </w:t>
            </w:r>
          </w:p>
        </w:tc>
        <w:tc>
          <w:tcPr>
            <w:tcW w:w="7031" w:type="dxa"/>
            <w:gridSpan w:val="2"/>
          </w:tcPr>
          <w:p w:rsidR="00BD3114" w:rsidRPr="00D52A43" w:rsidRDefault="00BD3114" w:rsidP="00BB61D9">
            <w:pPr>
              <w:widowControl w:val="0"/>
              <w:jc w:val="both"/>
              <w:rPr>
                <w:rFonts w:ascii="Times New Roman" w:hAnsi="Times New Roman"/>
                <w:sz w:val="24"/>
                <w:szCs w:val="24"/>
              </w:rPr>
            </w:pPr>
            <w:r w:rsidRPr="00D52A43">
              <w:rPr>
                <w:rFonts w:ascii="Times New Roman" w:hAnsi="Times New Roman"/>
                <w:sz w:val="24"/>
                <w:szCs w:val="24"/>
              </w:rPr>
              <w:t>11 месяцев</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FF465E">
              <w:rPr>
                <w:rFonts w:ascii="Times New Roman" w:hAnsi="Times New Roman"/>
                <w:color w:val="000000" w:themeColor="text1"/>
                <w:sz w:val="24"/>
                <w:szCs w:val="24"/>
              </w:rPr>
              <w:t>Размер задатка, (20% от начальной цены)</w:t>
            </w:r>
          </w:p>
        </w:tc>
        <w:tc>
          <w:tcPr>
            <w:tcW w:w="7031" w:type="dxa"/>
            <w:gridSpan w:val="2"/>
          </w:tcPr>
          <w:p w:rsidR="00BD3114" w:rsidRPr="00885135" w:rsidRDefault="00BD3114" w:rsidP="00BB61D9">
            <w:pPr>
              <w:widowControl w:val="0"/>
              <w:jc w:val="both"/>
              <w:rPr>
                <w:rFonts w:ascii="Times New Roman" w:hAnsi="Times New Roman"/>
                <w:sz w:val="24"/>
                <w:szCs w:val="24"/>
              </w:rPr>
            </w:pPr>
            <w:r>
              <w:rPr>
                <w:rFonts w:ascii="Times New Roman" w:hAnsi="Times New Roman"/>
                <w:sz w:val="24"/>
                <w:szCs w:val="24"/>
              </w:rPr>
              <w:t>1203,47</w:t>
            </w:r>
            <w:r w:rsidRPr="00885135">
              <w:rPr>
                <w:rFonts w:ascii="Times New Roman" w:hAnsi="Times New Roman"/>
                <w:sz w:val="24"/>
                <w:szCs w:val="24"/>
              </w:rPr>
              <w:t xml:space="preserve"> (</w:t>
            </w:r>
            <w:r>
              <w:rPr>
                <w:rFonts w:ascii="Times New Roman" w:hAnsi="Times New Roman"/>
                <w:sz w:val="24"/>
                <w:szCs w:val="24"/>
              </w:rPr>
              <w:t xml:space="preserve">одна тысяча двести три </w:t>
            </w:r>
            <w:r w:rsidRPr="00885135">
              <w:rPr>
                <w:rFonts w:ascii="Times New Roman" w:hAnsi="Times New Roman"/>
                <w:sz w:val="24"/>
                <w:szCs w:val="24"/>
              </w:rPr>
              <w:t xml:space="preserve">руб., </w:t>
            </w:r>
            <w:r>
              <w:rPr>
                <w:rFonts w:ascii="Times New Roman" w:hAnsi="Times New Roman"/>
                <w:sz w:val="24"/>
                <w:szCs w:val="24"/>
              </w:rPr>
              <w:t>47</w:t>
            </w:r>
            <w:r w:rsidRPr="00885135">
              <w:rPr>
                <w:rFonts w:ascii="Times New Roman" w:hAnsi="Times New Roman"/>
                <w:sz w:val="24"/>
                <w:szCs w:val="24"/>
              </w:rPr>
              <w:t xml:space="preserve"> коп.)</w:t>
            </w:r>
          </w:p>
        </w:tc>
      </w:tr>
      <w:tr w:rsidR="00BD3114" w:rsidRPr="004207EA" w:rsidTr="00BD3114">
        <w:tc>
          <w:tcPr>
            <w:tcW w:w="9571" w:type="dxa"/>
            <w:gridSpan w:val="3"/>
            <w:shd w:val="clear" w:color="auto" w:fill="FFFF99"/>
          </w:tcPr>
          <w:p w:rsidR="00BD3114"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ЛОТ </w:t>
            </w:r>
            <w:r>
              <w:rPr>
                <w:rFonts w:ascii="Times New Roman" w:hAnsi="Times New Roman"/>
                <w:sz w:val="24"/>
                <w:szCs w:val="24"/>
              </w:rPr>
              <w:t>2</w:t>
            </w:r>
          </w:p>
        </w:tc>
      </w:tr>
      <w:tr w:rsidR="00BD3114" w:rsidRPr="004207EA" w:rsidTr="00BD3114">
        <w:tc>
          <w:tcPr>
            <w:tcW w:w="2540" w:type="dxa"/>
            <w:shd w:val="clear" w:color="auto" w:fill="FFFFFF" w:themeFill="background1"/>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Место расположения, описание и технические характеристики или муниципального имущества</w:t>
            </w:r>
          </w:p>
        </w:tc>
        <w:tc>
          <w:tcPr>
            <w:tcW w:w="7031" w:type="dxa"/>
            <w:gridSpan w:val="2"/>
            <w:shd w:val="clear" w:color="auto" w:fill="FFFFFF" w:themeFill="background1"/>
          </w:tcPr>
          <w:p w:rsidR="00BD3114" w:rsidRPr="00CB3F22" w:rsidRDefault="00BD3114" w:rsidP="00BB61D9">
            <w:pPr>
              <w:widowControl w:val="0"/>
              <w:jc w:val="both"/>
              <w:rPr>
                <w:rFonts w:ascii="Times New Roman" w:hAnsi="Times New Roman"/>
                <w:sz w:val="24"/>
                <w:szCs w:val="24"/>
              </w:rPr>
            </w:pPr>
            <w:r w:rsidRPr="00CB3F22">
              <w:rPr>
                <w:rFonts w:ascii="Times New Roman" w:hAnsi="Times New Roman"/>
                <w:sz w:val="24"/>
                <w:szCs w:val="24"/>
              </w:rPr>
              <w:t xml:space="preserve">нежилое помещение на первом этаже в двухэтажном кирпичном здании, общей площадью 62,7 кв.м., расположенное по адресу: </w:t>
            </w:r>
            <w:proofErr w:type="gramStart"/>
            <w:r w:rsidRPr="00CB3F22">
              <w:rPr>
                <w:rFonts w:ascii="Times New Roman" w:hAnsi="Times New Roman"/>
                <w:sz w:val="24"/>
                <w:szCs w:val="24"/>
              </w:rPr>
              <w:t>г</w:t>
            </w:r>
            <w:proofErr w:type="gramEnd"/>
            <w:r w:rsidRPr="00CB3F22">
              <w:rPr>
                <w:rFonts w:ascii="Times New Roman" w:hAnsi="Times New Roman"/>
                <w:sz w:val="24"/>
                <w:szCs w:val="24"/>
              </w:rPr>
              <w:t>.п. Агириш, ул. Дзержинского, д. 16 (помещения № 24, 25, 26, 27, 28, 29, 30, 31, 32).</w:t>
            </w:r>
          </w:p>
        </w:tc>
      </w:tr>
      <w:tr w:rsidR="00BD3114" w:rsidRPr="004207EA" w:rsidTr="00BD3114">
        <w:tc>
          <w:tcPr>
            <w:tcW w:w="2540" w:type="dxa"/>
            <w:shd w:val="clear" w:color="auto" w:fill="FFFFFF" w:themeFill="background1"/>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Целевое назначение имущества</w:t>
            </w:r>
          </w:p>
        </w:tc>
        <w:tc>
          <w:tcPr>
            <w:tcW w:w="7031" w:type="dxa"/>
            <w:gridSpan w:val="2"/>
            <w:shd w:val="clear" w:color="auto" w:fill="FFFFFF" w:themeFill="background1"/>
          </w:tcPr>
          <w:p w:rsidR="00BD3114" w:rsidRPr="00D52A43" w:rsidRDefault="00BD3114" w:rsidP="00BB61D9">
            <w:pPr>
              <w:widowControl w:val="0"/>
              <w:jc w:val="both"/>
              <w:rPr>
                <w:rFonts w:ascii="Times New Roman" w:hAnsi="Times New Roman"/>
                <w:sz w:val="24"/>
                <w:szCs w:val="24"/>
              </w:rPr>
            </w:pPr>
            <w:r w:rsidRPr="00D52A43">
              <w:rPr>
                <w:rFonts w:ascii="Times New Roman" w:hAnsi="Times New Roman"/>
                <w:sz w:val="24"/>
                <w:szCs w:val="24"/>
              </w:rPr>
              <w:t>под служебное помещение.</w:t>
            </w:r>
          </w:p>
        </w:tc>
      </w:tr>
      <w:tr w:rsidR="00BD3114" w:rsidRPr="004207EA" w:rsidTr="00BD3114">
        <w:tc>
          <w:tcPr>
            <w:tcW w:w="2540" w:type="dxa"/>
            <w:shd w:val="clear" w:color="auto" w:fill="FFFFFF" w:themeFill="background1"/>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Начальная (минимальная) арендной платы (цена лота)</w:t>
            </w:r>
          </w:p>
        </w:tc>
        <w:tc>
          <w:tcPr>
            <w:tcW w:w="7031" w:type="dxa"/>
            <w:gridSpan w:val="2"/>
            <w:shd w:val="clear" w:color="auto" w:fill="FFFFFF" w:themeFill="background1"/>
          </w:tcPr>
          <w:p w:rsidR="00BD3114" w:rsidRPr="004207EA" w:rsidRDefault="00BD3114" w:rsidP="00BB61D9">
            <w:pPr>
              <w:widowControl w:val="0"/>
              <w:jc w:val="both"/>
              <w:rPr>
                <w:rFonts w:ascii="Times New Roman" w:hAnsi="Times New Roman"/>
                <w:sz w:val="24"/>
                <w:szCs w:val="24"/>
              </w:rPr>
            </w:pPr>
            <w:r>
              <w:rPr>
                <w:rFonts w:ascii="Times New Roman" w:hAnsi="Times New Roman"/>
                <w:sz w:val="24"/>
                <w:szCs w:val="24"/>
              </w:rPr>
              <w:t xml:space="preserve">19620,08 (девятнадцать тысяч шестьсот двадцать руб., 08 коп.) </w:t>
            </w:r>
            <w:r w:rsidRPr="00885135">
              <w:rPr>
                <w:rFonts w:ascii="Times New Roman" w:hAnsi="Times New Roman"/>
                <w:sz w:val="24"/>
                <w:szCs w:val="24"/>
              </w:rPr>
              <w:t xml:space="preserve">в месяц </w:t>
            </w:r>
            <w:r>
              <w:rPr>
                <w:rFonts w:ascii="Times New Roman" w:hAnsi="Times New Roman"/>
                <w:sz w:val="24"/>
                <w:szCs w:val="24"/>
              </w:rPr>
              <w:t>без</w:t>
            </w:r>
            <w:r w:rsidRPr="00885135">
              <w:rPr>
                <w:rFonts w:ascii="Times New Roman" w:hAnsi="Times New Roman"/>
                <w:sz w:val="24"/>
                <w:szCs w:val="24"/>
              </w:rPr>
              <w:t xml:space="preserve"> учет</w:t>
            </w:r>
            <w:r>
              <w:rPr>
                <w:rFonts w:ascii="Times New Roman" w:hAnsi="Times New Roman"/>
                <w:sz w:val="24"/>
                <w:szCs w:val="24"/>
              </w:rPr>
              <w:t>а</w:t>
            </w:r>
            <w:r w:rsidRPr="00885135">
              <w:rPr>
                <w:rFonts w:ascii="Times New Roman" w:hAnsi="Times New Roman"/>
                <w:sz w:val="24"/>
                <w:szCs w:val="24"/>
              </w:rPr>
              <w:t xml:space="preserve"> налога на добавленную стоимость и коммунальных услуг</w:t>
            </w:r>
          </w:p>
        </w:tc>
      </w:tr>
      <w:tr w:rsidR="00BD3114" w:rsidRPr="004207EA" w:rsidTr="00BD3114">
        <w:tc>
          <w:tcPr>
            <w:tcW w:w="2540" w:type="dxa"/>
            <w:shd w:val="clear" w:color="auto" w:fill="FFFFFF" w:themeFill="background1"/>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 xml:space="preserve">Срок действия договора </w:t>
            </w:r>
          </w:p>
        </w:tc>
        <w:tc>
          <w:tcPr>
            <w:tcW w:w="7031" w:type="dxa"/>
            <w:gridSpan w:val="2"/>
            <w:shd w:val="clear" w:color="auto" w:fill="FFFFFF" w:themeFill="background1"/>
          </w:tcPr>
          <w:p w:rsidR="00BD3114" w:rsidRPr="00D52A43" w:rsidRDefault="00BD3114" w:rsidP="00BB61D9">
            <w:pPr>
              <w:widowControl w:val="0"/>
              <w:jc w:val="both"/>
              <w:rPr>
                <w:rFonts w:ascii="Times New Roman" w:hAnsi="Times New Roman"/>
                <w:sz w:val="24"/>
                <w:szCs w:val="24"/>
              </w:rPr>
            </w:pPr>
            <w:r w:rsidRPr="00D52A43">
              <w:rPr>
                <w:rFonts w:ascii="Times New Roman" w:hAnsi="Times New Roman"/>
                <w:sz w:val="24"/>
                <w:szCs w:val="24"/>
              </w:rPr>
              <w:t>11 месяцев</w:t>
            </w:r>
          </w:p>
        </w:tc>
      </w:tr>
      <w:tr w:rsidR="00BD3114" w:rsidRPr="004207EA" w:rsidTr="00BD3114">
        <w:tc>
          <w:tcPr>
            <w:tcW w:w="2540" w:type="dxa"/>
            <w:shd w:val="clear" w:color="auto" w:fill="FFFFFF" w:themeFill="background1"/>
          </w:tcPr>
          <w:p w:rsidR="00BD3114" w:rsidRPr="004207EA" w:rsidRDefault="00BD3114" w:rsidP="00BB61D9">
            <w:pPr>
              <w:widowControl w:val="0"/>
              <w:rPr>
                <w:rFonts w:ascii="Times New Roman" w:hAnsi="Times New Roman"/>
                <w:sz w:val="24"/>
                <w:szCs w:val="24"/>
              </w:rPr>
            </w:pPr>
            <w:r w:rsidRPr="00FF465E">
              <w:rPr>
                <w:rFonts w:ascii="Times New Roman" w:hAnsi="Times New Roman"/>
                <w:color w:val="000000" w:themeColor="text1"/>
                <w:sz w:val="24"/>
                <w:szCs w:val="24"/>
              </w:rPr>
              <w:t>Размер задатка, (20% от начальной цены)</w:t>
            </w:r>
          </w:p>
        </w:tc>
        <w:tc>
          <w:tcPr>
            <w:tcW w:w="7031" w:type="dxa"/>
            <w:gridSpan w:val="2"/>
            <w:shd w:val="clear" w:color="auto" w:fill="FFFFFF" w:themeFill="background1"/>
          </w:tcPr>
          <w:p w:rsidR="00BD3114" w:rsidRPr="004207EA" w:rsidRDefault="00BD3114" w:rsidP="00BB61D9">
            <w:pPr>
              <w:widowControl w:val="0"/>
              <w:jc w:val="both"/>
              <w:rPr>
                <w:rFonts w:ascii="Times New Roman" w:hAnsi="Times New Roman"/>
                <w:sz w:val="24"/>
                <w:szCs w:val="24"/>
              </w:rPr>
            </w:pPr>
            <w:r>
              <w:rPr>
                <w:rFonts w:ascii="Times New Roman" w:hAnsi="Times New Roman"/>
                <w:sz w:val="24"/>
                <w:szCs w:val="24"/>
              </w:rPr>
              <w:t>3924,02 (три тысячи девятьсот двадцать четыре руб., 02 коп.)</w:t>
            </w:r>
          </w:p>
        </w:tc>
      </w:tr>
      <w:tr w:rsidR="00BD3114" w:rsidRPr="004207EA" w:rsidTr="00BD3114">
        <w:tc>
          <w:tcPr>
            <w:tcW w:w="9571" w:type="dxa"/>
            <w:gridSpan w:val="3"/>
            <w:shd w:val="clear" w:color="auto" w:fill="FFFFCC"/>
          </w:tcPr>
          <w:p w:rsidR="00BD3114" w:rsidRPr="004207EA" w:rsidRDefault="00BD3114" w:rsidP="00BB61D9">
            <w:pPr>
              <w:widowControl w:val="0"/>
              <w:jc w:val="both"/>
              <w:rPr>
                <w:rFonts w:ascii="Times New Roman" w:hAnsi="Times New Roman"/>
                <w:color w:val="FF0000"/>
                <w:sz w:val="24"/>
                <w:szCs w:val="24"/>
              </w:rPr>
            </w:pPr>
            <w:r w:rsidRPr="004207EA">
              <w:rPr>
                <w:rFonts w:ascii="Times New Roman" w:hAnsi="Times New Roman"/>
                <w:color w:val="000000" w:themeColor="text1"/>
                <w:sz w:val="24"/>
                <w:szCs w:val="24"/>
              </w:rPr>
              <w:t>Задаток</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Требование о внесении задатка, размер задатка, срок и порядок внесения задатка, реквизиты счета для перечисления задатка</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Задаток на участие в процедуре торгов служит обеспечением исполнения обязательства победителя либо лица, признанного единственным участником аукциона по заключению договора. Задаток перечисляется на счёт оператора ЭП в порядке, определённом в регламенте ТС ЭП. Реквизиты для перечисления </w:t>
            </w:r>
            <w:r w:rsidRPr="0021753A">
              <w:rPr>
                <w:rFonts w:ascii="Times New Roman" w:hAnsi="Times New Roman"/>
                <w:sz w:val="24"/>
                <w:szCs w:val="24"/>
              </w:rPr>
              <w:t>средств и назначение платежа представлены в ТС пункт меню «Информация по ТС» подпункт «Банковские реквизиты»: https://utp.sberbank-ast.ru/AP/Notice/653/Requisites.</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В момент подачи заявки на участие и её регистрации ЭП программными средствами осуществляет блокирование денежных сре</w:t>
            </w:r>
            <w:proofErr w:type="gramStart"/>
            <w:r w:rsidRPr="004207EA">
              <w:rPr>
                <w:rFonts w:ascii="Times New Roman" w:hAnsi="Times New Roman"/>
                <w:sz w:val="24"/>
                <w:szCs w:val="24"/>
              </w:rPr>
              <w:t>дств в с</w:t>
            </w:r>
            <w:proofErr w:type="gramEnd"/>
            <w:r w:rsidRPr="004207EA">
              <w:rPr>
                <w:rFonts w:ascii="Times New Roman" w:hAnsi="Times New Roman"/>
                <w:sz w:val="24"/>
                <w:szCs w:val="24"/>
              </w:rPr>
              <w:t>умме задатка (при их наличии на лицевом счёте, открытом на электронной площадке при регистрации).</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Если на момент подачи заявки денежных сре</w:t>
            </w:r>
            <w:proofErr w:type="gramStart"/>
            <w:r w:rsidRPr="004207EA">
              <w:rPr>
                <w:rFonts w:ascii="Times New Roman" w:hAnsi="Times New Roman"/>
                <w:sz w:val="24"/>
                <w:szCs w:val="24"/>
              </w:rPr>
              <w:t>дств в с</w:t>
            </w:r>
            <w:proofErr w:type="gramEnd"/>
            <w:r w:rsidRPr="004207EA">
              <w:rPr>
                <w:rFonts w:ascii="Times New Roman" w:hAnsi="Times New Roman"/>
                <w:sz w:val="24"/>
                <w:szCs w:val="24"/>
              </w:rPr>
              <w:t xml:space="preserve">умме задатка на лицевом счёте претендента недостаточно, заявка регистрируется оператором без блокирования задатка на счёте. </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В данном случае, претендент должен обеспечить поступление </w:t>
            </w:r>
            <w:r w:rsidRPr="004207EA">
              <w:rPr>
                <w:rFonts w:ascii="Times New Roman" w:hAnsi="Times New Roman"/>
                <w:sz w:val="24"/>
                <w:szCs w:val="24"/>
              </w:rPr>
              <w:lastRenderedPageBreak/>
              <w:t xml:space="preserve">денежных средств на свой лицевой счёт не позднее 00 часов 00 минут (время московское) дня рассмотрения заявок и определения участников торгов. </w:t>
            </w:r>
            <w:proofErr w:type="gramStart"/>
            <w:r w:rsidRPr="004207EA">
              <w:rPr>
                <w:rFonts w:ascii="Times New Roman" w:hAnsi="Times New Roman"/>
                <w:sz w:val="24"/>
                <w:szCs w:val="24"/>
              </w:rPr>
              <w:t xml:space="preserve">Если по состоянию на 00 часов 00 минут (время московское)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w:t>
            </w:r>
            <w:proofErr w:type="spellStart"/>
            <w:r w:rsidRPr="004207EA">
              <w:rPr>
                <w:rFonts w:ascii="Times New Roman" w:hAnsi="Times New Roman"/>
                <w:sz w:val="24"/>
                <w:szCs w:val="24"/>
              </w:rPr>
              <w:t>непоступлении</w:t>
            </w:r>
            <w:proofErr w:type="spellEnd"/>
            <w:r w:rsidRPr="004207EA">
              <w:rPr>
                <w:rFonts w:ascii="Times New Roman" w:hAnsi="Times New Roman"/>
                <w:sz w:val="24"/>
                <w:szCs w:val="24"/>
              </w:rPr>
              <w:t xml:space="preserve"> на ЭП задатка от такого претендента (Претендент не допускается к участию в процедуре).</w:t>
            </w:r>
            <w:proofErr w:type="gramEnd"/>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Разблокирование задатка производится в порядке, определённом              в регламенте ТС ЭП.</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ВНИМАНИЕ! Срок зачисления денежных средств на Лицевой счёт Претендента на ЭП – от 1 до 3 рабочих дней. Платежи разносятся по лицевым счетам каждый рабочий день по факту поступления средств по банковским выпискам. Денежные средства, перечисленные за Претендента третьим лицом, не зачисляются на Лицевой счёт такого Претендента.</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lastRenderedPageBreak/>
              <w:t>Условия возврата задатка</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Денежные средства, внесенные в качестве задатка, возвращаются заявителю в течение пяти рабочих дней с даты:</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 размещения извещения об отказе организатора от проведения аукциона на официальном сайте; </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окончания срока приема заявок в случае поступления заявки на участие в аукционе после окончания установленного срока приема заявок на участие в аукционе;</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поступления организатору аукциона уведомления об отзыве заявки на участие в аукционе;</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подписания протокола рассмотрения заявок на участие                                 в аукционе заявителю, не допущенному к участию в аукционе;</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размещения протокола проведения итогов аукциона                                    на официальном сайте участникам аукциона, за исключением победителя аукциона и участника аукциона, сделавшего предпоследнее предложение о цене договора;</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подписания договора с победителем аукциона участнику аукциона, который сделал предпоследнее предложение о цене договора.</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 xml:space="preserve"> </w:t>
            </w:r>
            <w:r w:rsidRPr="004207EA">
              <w:rPr>
                <w:rFonts w:ascii="Times New Roman" w:hAnsi="Times New Roman"/>
                <w:b/>
                <w:i/>
                <w:sz w:val="24"/>
                <w:szCs w:val="24"/>
              </w:rPr>
              <w:t>ВНИМАНИЕ!</w:t>
            </w:r>
            <w:r w:rsidRPr="004207EA">
              <w:rPr>
                <w:rFonts w:ascii="Times New Roman" w:hAnsi="Times New Roman"/>
                <w:sz w:val="24"/>
                <w:szCs w:val="24"/>
              </w:rPr>
              <w:t xml:space="preserve"> Задаток засчитывается в счет исполнения обязательств по договору аренды, заключенному по итогам аукциона.</w:t>
            </w:r>
          </w:p>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Задаток, внесенный победителем аукциона, уклонившимся                        от заключения договора, возврату не подлежи</w:t>
            </w:r>
            <w:r>
              <w:rPr>
                <w:rFonts w:ascii="Times New Roman" w:hAnsi="Times New Roman"/>
                <w:sz w:val="24"/>
                <w:szCs w:val="24"/>
              </w:rPr>
              <w:t>т.</w:t>
            </w:r>
          </w:p>
        </w:tc>
      </w:tr>
      <w:tr w:rsidR="00BD3114" w:rsidRPr="00086B6A" w:rsidTr="00BD3114">
        <w:tc>
          <w:tcPr>
            <w:tcW w:w="2540" w:type="dxa"/>
          </w:tcPr>
          <w:p w:rsidR="00BD3114" w:rsidRPr="00086B6A" w:rsidRDefault="00BD3114" w:rsidP="00BB61D9">
            <w:pPr>
              <w:widowControl w:val="0"/>
              <w:rPr>
                <w:rFonts w:ascii="Times New Roman" w:hAnsi="Times New Roman"/>
                <w:sz w:val="24"/>
                <w:szCs w:val="24"/>
              </w:rPr>
            </w:pPr>
            <w:r w:rsidRPr="00086B6A">
              <w:rPr>
                <w:rFonts w:ascii="Times New Roman" w:hAnsi="Times New Roman"/>
                <w:sz w:val="24"/>
                <w:szCs w:val="24"/>
              </w:rPr>
              <w:t>Сроки и порядок оплаты по договору</w:t>
            </w:r>
          </w:p>
        </w:tc>
        <w:tc>
          <w:tcPr>
            <w:tcW w:w="7031" w:type="dxa"/>
            <w:gridSpan w:val="2"/>
          </w:tcPr>
          <w:p w:rsidR="00BD3114" w:rsidRPr="00086B6A" w:rsidRDefault="00BD3114" w:rsidP="00BB61D9">
            <w:pPr>
              <w:widowControl w:val="0"/>
              <w:jc w:val="both"/>
              <w:rPr>
                <w:rFonts w:ascii="Times New Roman" w:hAnsi="Times New Roman"/>
                <w:sz w:val="24"/>
                <w:szCs w:val="24"/>
              </w:rPr>
            </w:pPr>
            <w:r w:rsidRPr="00086B6A">
              <w:rPr>
                <w:rFonts w:ascii="Times New Roman" w:hAnsi="Times New Roman"/>
                <w:sz w:val="24"/>
                <w:szCs w:val="24"/>
              </w:rPr>
              <w:t xml:space="preserve">Арендная плата по заключенному договору перечисляется ежемесячно до </w:t>
            </w:r>
            <w:r>
              <w:rPr>
                <w:rFonts w:ascii="Times New Roman" w:hAnsi="Times New Roman"/>
                <w:sz w:val="24"/>
                <w:szCs w:val="24"/>
              </w:rPr>
              <w:t>10</w:t>
            </w:r>
            <w:r w:rsidRPr="00086B6A">
              <w:rPr>
                <w:rFonts w:ascii="Times New Roman" w:hAnsi="Times New Roman"/>
                <w:sz w:val="24"/>
                <w:szCs w:val="24"/>
              </w:rPr>
              <w:t xml:space="preserve"> числа текущего месяца по банковским реквизитам, указанным в договоре аренды</w:t>
            </w:r>
          </w:p>
        </w:tc>
      </w:tr>
      <w:tr w:rsidR="00BD3114" w:rsidRPr="00086B6A" w:rsidTr="00BD3114">
        <w:tc>
          <w:tcPr>
            <w:tcW w:w="2540" w:type="dxa"/>
          </w:tcPr>
          <w:p w:rsidR="00BD3114" w:rsidRPr="00086B6A" w:rsidRDefault="00BD3114" w:rsidP="00BB61D9">
            <w:pPr>
              <w:widowControl w:val="0"/>
              <w:rPr>
                <w:rFonts w:ascii="Times New Roman" w:hAnsi="Times New Roman"/>
                <w:sz w:val="24"/>
                <w:szCs w:val="24"/>
              </w:rPr>
            </w:pPr>
            <w:r w:rsidRPr="00086B6A">
              <w:rPr>
                <w:rFonts w:ascii="Times New Roman" w:hAnsi="Times New Roman"/>
                <w:sz w:val="24"/>
                <w:szCs w:val="24"/>
              </w:rPr>
              <w:t>Срок, в течение которого организатор аукциона вправе отказаться от проведения аукциона</w:t>
            </w:r>
          </w:p>
        </w:tc>
        <w:tc>
          <w:tcPr>
            <w:tcW w:w="7031" w:type="dxa"/>
            <w:gridSpan w:val="2"/>
          </w:tcPr>
          <w:p w:rsidR="00BD3114" w:rsidRPr="00086B6A" w:rsidRDefault="00BD3114" w:rsidP="00BB61D9">
            <w:pPr>
              <w:widowControl w:val="0"/>
              <w:jc w:val="both"/>
              <w:rPr>
                <w:rFonts w:ascii="Times New Roman" w:hAnsi="Times New Roman"/>
                <w:color w:val="FF0000"/>
                <w:sz w:val="24"/>
                <w:szCs w:val="24"/>
              </w:rPr>
            </w:pPr>
            <w:r w:rsidRPr="00086B6A">
              <w:rPr>
                <w:rFonts w:ascii="Times New Roman" w:hAnsi="Times New Roman"/>
                <w:sz w:val="24"/>
                <w:szCs w:val="24"/>
                <w:shd w:val="clear" w:color="auto" w:fill="FFFFFF"/>
              </w:rPr>
              <w:t>Организатор аукциона вправе отказаться от проведения аукциона. </w:t>
            </w:r>
            <w:r w:rsidRPr="00086B6A">
              <w:rPr>
                <w:rFonts w:ascii="Times New Roman" w:hAnsi="Times New Roman"/>
                <w:sz w:val="24"/>
                <w:szCs w:val="24"/>
              </w:rPr>
              <w:t xml:space="preserve">Извещение об отказе от проведения аукциона размещается на официальном сайте </w:t>
            </w:r>
            <w:r w:rsidRPr="00086B6A">
              <w:rPr>
                <w:rFonts w:ascii="Times New Roman" w:hAnsi="Times New Roman"/>
                <w:sz w:val="24"/>
                <w:szCs w:val="24"/>
                <w:shd w:val="clear" w:color="auto" w:fill="FFFFFF"/>
              </w:rPr>
              <w:t xml:space="preserve">не </w:t>
            </w:r>
            <w:proofErr w:type="gramStart"/>
            <w:r w:rsidRPr="00086B6A">
              <w:rPr>
                <w:rFonts w:ascii="Times New Roman" w:hAnsi="Times New Roman"/>
                <w:sz w:val="24"/>
                <w:szCs w:val="24"/>
                <w:shd w:val="clear" w:color="auto" w:fill="FFFFFF"/>
              </w:rPr>
              <w:t>позднее</w:t>
            </w:r>
            <w:proofErr w:type="gramEnd"/>
            <w:r w:rsidRPr="00086B6A">
              <w:rPr>
                <w:rFonts w:ascii="Times New Roman" w:hAnsi="Times New Roman"/>
                <w:sz w:val="24"/>
                <w:szCs w:val="24"/>
                <w:shd w:val="clear" w:color="auto" w:fill="FFFFFF"/>
              </w:rPr>
              <w:t xml:space="preserve"> чем за 5 дней до даты окончания срока подачи заявок на участие в аукционе. </w:t>
            </w:r>
          </w:p>
        </w:tc>
      </w:tr>
      <w:tr w:rsidR="00BD3114" w:rsidRPr="00086B6A" w:rsidTr="00BD3114">
        <w:tc>
          <w:tcPr>
            <w:tcW w:w="2540" w:type="dxa"/>
          </w:tcPr>
          <w:p w:rsidR="00BD3114" w:rsidRPr="00086B6A" w:rsidRDefault="00BD3114" w:rsidP="00BB61D9">
            <w:pPr>
              <w:widowControl w:val="0"/>
              <w:rPr>
                <w:rFonts w:ascii="Times New Roman" w:hAnsi="Times New Roman"/>
                <w:color w:val="000000" w:themeColor="text1"/>
                <w:sz w:val="24"/>
                <w:szCs w:val="24"/>
              </w:rPr>
            </w:pPr>
            <w:r w:rsidRPr="00086B6A">
              <w:rPr>
                <w:rFonts w:ascii="Times New Roman" w:hAnsi="Times New Roman"/>
                <w:color w:val="000000" w:themeColor="text1"/>
                <w:sz w:val="24"/>
                <w:szCs w:val="24"/>
              </w:rPr>
              <w:t>Срок, в течение которого должен быть подписан проект договора</w:t>
            </w:r>
          </w:p>
        </w:tc>
        <w:tc>
          <w:tcPr>
            <w:tcW w:w="7031" w:type="dxa"/>
            <w:gridSpan w:val="2"/>
          </w:tcPr>
          <w:p w:rsidR="00BD3114" w:rsidRPr="00086B6A" w:rsidRDefault="00BD3114" w:rsidP="00BB61D9">
            <w:pPr>
              <w:widowControl w:val="0"/>
              <w:jc w:val="both"/>
              <w:rPr>
                <w:rFonts w:ascii="Times New Roman" w:hAnsi="Times New Roman"/>
                <w:color w:val="000000" w:themeColor="text1"/>
                <w:sz w:val="24"/>
                <w:szCs w:val="24"/>
              </w:rPr>
            </w:pPr>
            <w:r w:rsidRPr="00086B6A">
              <w:rPr>
                <w:rFonts w:ascii="Times New Roman" w:hAnsi="Times New Roman"/>
                <w:color w:val="000000" w:themeColor="text1"/>
                <w:sz w:val="24"/>
                <w:szCs w:val="24"/>
              </w:rPr>
              <w:t xml:space="preserve">В течение </w:t>
            </w:r>
            <w:r>
              <w:rPr>
                <w:rFonts w:ascii="Times New Roman" w:hAnsi="Times New Roman"/>
                <w:color w:val="000000" w:themeColor="text1"/>
                <w:sz w:val="24"/>
                <w:szCs w:val="24"/>
              </w:rPr>
              <w:t>пятнадцати</w:t>
            </w:r>
            <w:r w:rsidRPr="00086B6A">
              <w:rPr>
                <w:rFonts w:ascii="Times New Roman" w:hAnsi="Times New Roman"/>
                <w:color w:val="000000" w:themeColor="text1"/>
                <w:sz w:val="24"/>
                <w:szCs w:val="24"/>
              </w:rPr>
              <w:t xml:space="preserve"> рабочих дней, но не ранее десяти дней со дня размещения информации о результатах аукциона на официальном сайте торгов. Победитель аукциона должен подписать проект договора аренды муниципального имущества с </w:t>
            </w:r>
            <w:r w:rsidRPr="00086B6A">
              <w:rPr>
                <w:rFonts w:ascii="Times New Roman" w:hAnsi="Times New Roman"/>
                <w:color w:val="000000" w:themeColor="text1"/>
                <w:sz w:val="24"/>
                <w:szCs w:val="24"/>
              </w:rPr>
              <w:lastRenderedPageBreak/>
              <w:t>включением в него цены договора, предложенной победителем</w:t>
            </w:r>
          </w:p>
        </w:tc>
      </w:tr>
      <w:tr w:rsidR="00BD3114" w:rsidRPr="004207EA" w:rsidTr="00BD3114">
        <w:tc>
          <w:tcPr>
            <w:tcW w:w="9571" w:type="dxa"/>
            <w:gridSpan w:val="3"/>
            <w:tcBorders>
              <w:bottom w:val="single" w:sz="4" w:space="0" w:color="auto"/>
            </w:tcBorders>
            <w:shd w:val="clear" w:color="auto" w:fill="FFFFCC"/>
          </w:tcPr>
          <w:p w:rsidR="00BD3114" w:rsidRPr="004207EA" w:rsidRDefault="00BD3114" w:rsidP="00BB61D9">
            <w:pPr>
              <w:widowControl w:val="0"/>
              <w:jc w:val="both"/>
              <w:rPr>
                <w:rFonts w:ascii="Times New Roman" w:hAnsi="Times New Roman"/>
                <w:b/>
                <w:sz w:val="24"/>
                <w:szCs w:val="24"/>
              </w:rPr>
            </w:pPr>
            <w:r w:rsidRPr="004207EA">
              <w:rPr>
                <w:rFonts w:ascii="Times New Roman" w:hAnsi="Times New Roman"/>
                <w:b/>
                <w:sz w:val="24"/>
                <w:szCs w:val="24"/>
              </w:rPr>
              <w:lastRenderedPageBreak/>
              <w:t>Условия проведения процедуры</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Форма подачи предложений о цене</w:t>
            </w:r>
          </w:p>
        </w:tc>
        <w:tc>
          <w:tcPr>
            <w:tcW w:w="7031" w:type="dxa"/>
            <w:gridSpan w:val="2"/>
          </w:tcPr>
          <w:p w:rsidR="00BD3114" w:rsidRPr="004207EA" w:rsidRDefault="00BD3114" w:rsidP="00BB61D9">
            <w:pPr>
              <w:widowControl w:val="0"/>
              <w:jc w:val="both"/>
              <w:rPr>
                <w:rFonts w:ascii="Times New Roman" w:hAnsi="Times New Roman"/>
                <w:sz w:val="24"/>
                <w:szCs w:val="24"/>
              </w:rPr>
            </w:pPr>
            <w:r w:rsidRPr="004207EA">
              <w:rPr>
                <w:rFonts w:ascii="Times New Roman" w:hAnsi="Times New Roman"/>
                <w:sz w:val="24"/>
                <w:szCs w:val="24"/>
              </w:rPr>
              <w:t>Открытая</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Дата и время начала подачи заявок на участие</w:t>
            </w:r>
          </w:p>
        </w:tc>
        <w:tc>
          <w:tcPr>
            <w:tcW w:w="2815" w:type="dxa"/>
          </w:tcPr>
          <w:p w:rsidR="00BD3114" w:rsidRPr="00706987" w:rsidRDefault="00BD3114" w:rsidP="00BB61D9">
            <w:pPr>
              <w:widowControl w:val="0"/>
              <w:jc w:val="both"/>
              <w:rPr>
                <w:rFonts w:ascii="Times New Roman" w:hAnsi="Times New Roman"/>
                <w:sz w:val="24"/>
                <w:szCs w:val="24"/>
              </w:rPr>
            </w:pPr>
            <w:r>
              <w:rPr>
                <w:rFonts w:ascii="Times New Roman" w:hAnsi="Times New Roman"/>
                <w:sz w:val="24"/>
                <w:szCs w:val="24"/>
              </w:rPr>
              <w:t>19</w:t>
            </w:r>
            <w:r w:rsidRPr="00706987">
              <w:rPr>
                <w:rFonts w:ascii="Times New Roman" w:hAnsi="Times New Roman"/>
                <w:sz w:val="24"/>
                <w:szCs w:val="24"/>
              </w:rPr>
              <w:t>.</w:t>
            </w:r>
            <w:r>
              <w:rPr>
                <w:rFonts w:ascii="Times New Roman" w:hAnsi="Times New Roman"/>
                <w:sz w:val="24"/>
                <w:szCs w:val="24"/>
              </w:rPr>
              <w:t>11</w:t>
            </w:r>
            <w:r w:rsidRPr="00706987">
              <w:rPr>
                <w:rFonts w:ascii="Times New Roman" w:hAnsi="Times New Roman"/>
                <w:sz w:val="24"/>
                <w:szCs w:val="24"/>
              </w:rPr>
              <w:t>.2024 00:00 (МСК)</w:t>
            </w:r>
          </w:p>
          <w:p w:rsidR="00BD3114" w:rsidRPr="00706987" w:rsidRDefault="00BD3114" w:rsidP="00BB61D9">
            <w:pPr>
              <w:widowControl w:val="0"/>
              <w:jc w:val="both"/>
              <w:rPr>
                <w:rFonts w:ascii="Times New Roman" w:hAnsi="Times New Roman"/>
                <w:sz w:val="24"/>
                <w:szCs w:val="24"/>
              </w:rPr>
            </w:pPr>
          </w:p>
        </w:tc>
        <w:tc>
          <w:tcPr>
            <w:tcW w:w="4216" w:type="dxa"/>
            <w:vMerge w:val="restart"/>
            <w:vAlign w:val="center"/>
          </w:tcPr>
          <w:p w:rsidR="00BD3114" w:rsidRPr="004207EA" w:rsidRDefault="00BD3114" w:rsidP="00BB61D9">
            <w:pPr>
              <w:widowControl w:val="0"/>
              <w:jc w:val="center"/>
              <w:rPr>
                <w:rFonts w:ascii="Times New Roman" w:hAnsi="Times New Roman"/>
                <w:sz w:val="24"/>
                <w:szCs w:val="24"/>
              </w:rPr>
            </w:pPr>
            <w:r w:rsidRPr="004207EA">
              <w:rPr>
                <w:rFonts w:ascii="Times New Roman" w:hAnsi="Times New Roman"/>
                <w:b/>
                <w:sz w:val="24"/>
                <w:szCs w:val="24"/>
              </w:rPr>
              <w:t>ВНИМАНИЕ</w:t>
            </w:r>
            <w:r w:rsidRPr="004207EA">
              <w:rPr>
                <w:rFonts w:ascii="Times New Roman" w:hAnsi="Times New Roman"/>
                <w:sz w:val="24"/>
                <w:szCs w:val="24"/>
              </w:rPr>
              <w:t xml:space="preserve">! Указанное в настоящем информационном сообщении время – серверное время электронной площадки (МОСКОВСКОЕ </w:t>
            </w:r>
            <w:r w:rsidRPr="004207EA">
              <w:rPr>
                <w:rFonts w:ascii="Times New Roman" w:hAnsi="Times New Roman"/>
                <w:sz w:val="24"/>
                <w:szCs w:val="24"/>
                <w:lang w:val="en-US"/>
              </w:rPr>
              <w:t>UTC</w:t>
            </w:r>
            <w:r w:rsidRPr="004207EA">
              <w:rPr>
                <w:rFonts w:ascii="Times New Roman" w:hAnsi="Times New Roman"/>
                <w:sz w:val="24"/>
                <w:szCs w:val="24"/>
              </w:rPr>
              <w:t> + 2)</w:t>
            </w: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Дата и время окончания подачи заявок на участие</w:t>
            </w:r>
          </w:p>
        </w:tc>
        <w:tc>
          <w:tcPr>
            <w:tcW w:w="2815" w:type="dxa"/>
          </w:tcPr>
          <w:p w:rsidR="00BD3114" w:rsidRPr="00706987" w:rsidRDefault="00BD3114" w:rsidP="00BB61D9">
            <w:pPr>
              <w:widowControl w:val="0"/>
              <w:jc w:val="both"/>
              <w:rPr>
                <w:rFonts w:ascii="Times New Roman" w:hAnsi="Times New Roman"/>
                <w:sz w:val="24"/>
                <w:szCs w:val="24"/>
              </w:rPr>
            </w:pPr>
            <w:r>
              <w:rPr>
                <w:rFonts w:ascii="Times New Roman" w:hAnsi="Times New Roman"/>
                <w:sz w:val="24"/>
                <w:szCs w:val="24"/>
              </w:rPr>
              <w:t>09</w:t>
            </w:r>
            <w:r w:rsidRPr="00706987">
              <w:rPr>
                <w:rFonts w:ascii="Times New Roman" w:hAnsi="Times New Roman"/>
                <w:sz w:val="24"/>
                <w:szCs w:val="24"/>
              </w:rPr>
              <w:t>.1</w:t>
            </w:r>
            <w:r>
              <w:rPr>
                <w:rFonts w:ascii="Times New Roman" w:hAnsi="Times New Roman"/>
                <w:sz w:val="24"/>
                <w:szCs w:val="24"/>
              </w:rPr>
              <w:t>2</w:t>
            </w:r>
            <w:r w:rsidRPr="00706987">
              <w:rPr>
                <w:rFonts w:ascii="Times New Roman" w:hAnsi="Times New Roman"/>
                <w:sz w:val="24"/>
                <w:szCs w:val="24"/>
              </w:rPr>
              <w:t>.2024 12:00 (МСК)</w:t>
            </w:r>
          </w:p>
        </w:tc>
        <w:tc>
          <w:tcPr>
            <w:tcW w:w="4216" w:type="dxa"/>
            <w:vMerge/>
          </w:tcPr>
          <w:p w:rsidR="00BD3114" w:rsidRPr="004207EA" w:rsidRDefault="00BD3114" w:rsidP="00BB61D9">
            <w:pPr>
              <w:widowControl w:val="0"/>
              <w:jc w:val="both"/>
              <w:rPr>
                <w:rFonts w:ascii="Times New Roman" w:hAnsi="Times New Roman"/>
                <w:sz w:val="24"/>
                <w:szCs w:val="24"/>
              </w:rPr>
            </w:pPr>
          </w:p>
        </w:tc>
      </w:tr>
      <w:tr w:rsidR="00BD3114" w:rsidRPr="004207EA" w:rsidTr="00BD3114">
        <w:tc>
          <w:tcPr>
            <w:tcW w:w="2540" w:type="dxa"/>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 xml:space="preserve">Дата рассмотрения заявок на участие </w:t>
            </w:r>
            <w:r w:rsidRPr="004207EA">
              <w:rPr>
                <w:rFonts w:ascii="Times New Roman" w:hAnsi="Times New Roman"/>
                <w:sz w:val="24"/>
                <w:szCs w:val="24"/>
              </w:rPr>
              <w:br/>
              <w:t>(дата определения участников)</w:t>
            </w:r>
          </w:p>
        </w:tc>
        <w:tc>
          <w:tcPr>
            <w:tcW w:w="2815" w:type="dxa"/>
          </w:tcPr>
          <w:p w:rsidR="00BD3114" w:rsidRPr="00706987" w:rsidRDefault="00BD3114" w:rsidP="00BB61D9">
            <w:pPr>
              <w:widowControl w:val="0"/>
              <w:jc w:val="both"/>
              <w:rPr>
                <w:rFonts w:ascii="Times New Roman" w:hAnsi="Times New Roman"/>
                <w:sz w:val="24"/>
                <w:szCs w:val="24"/>
              </w:rPr>
            </w:pPr>
            <w:r>
              <w:rPr>
                <w:rFonts w:ascii="Times New Roman" w:hAnsi="Times New Roman"/>
                <w:sz w:val="24"/>
                <w:szCs w:val="24"/>
              </w:rPr>
              <w:t>10</w:t>
            </w:r>
            <w:r w:rsidRPr="00706987">
              <w:rPr>
                <w:rFonts w:ascii="Times New Roman" w:hAnsi="Times New Roman"/>
                <w:sz w:val="24"/>
                <w:szCs w:val="24"/>
              </w:rPr>
              <w:t>.</w:t>
            </w:r>
            <w:r>
              <w:rPr>
                <w:rFonts w:ascii="Times New Roman" w:hAnsi="Times New Roman"/>
                <w:sz w:val="24"/>
                <w:szCs w:val="24"/>
              </w:rPr>
              <w:t>12</w:t>
            </w:r>
            <w:r w:rsidRPr="00706987">
              <w:rPr>
                <w:rFonts w:ascii="Times New Roman" w:hAnsi="Times New Roman"/>
                <w:sz w:val="24"/>
                <w:szCs w:val="24"/>
              </w:rPr>
              <w:t>.2024</w:t>
            </w:r>
          </w:p>
        </w:tc>
        <w:tc>
          <w:tcPr>
            <w:tcW w:w="4216" w:type="dxa"/>
            <w:vMerge/>
          </w:tcPr>
          <w:p w:rsidR="00BD3114" w:rsidRPr="004207EA" w:rsidRDefault="00BD3114" w:rsidP="00BB61D9">
            <w:pPr>
              <w:widowControl w:val="0"/>
              <w:jc w:val="both"/>
              <w:rPr>
                <w:rFonts w:ascii="Times New Roman" w:hAnsi="Times New Roman"/>
                <w:sz w:val="24"/>
                <w:szCs w:val="24"/>
              </w:rPr>
            </w:pPr>
          </w:p>
        </w:tc>
      </w:tr>
      <w:tr w:rsidR="00BD3114" w:rsidRPr="004207EA" w:rsidTr="00BD3114">
        <w:tc>
          <w:tcPr>
            <w:tcW w:w="2540" w:type="dxa"/>
            <w:tcBorders>
              <w:bottom w:val="single" w:sz="4" w:space="0" w:color="auto"/>
            </w:tcBorders>
          </w:tcPr>
          <w:p w:rsidR="00BD3114" w:rsidRPr="004207EA" w:rsidRDefault="00BD3114" w:rsidP="00BB61D9">
            <w:pPr>
              <w:widowControl w:val="0"/>
              <w:rPr>
                <w:rFonts w:ascii="Times New Roman" w:hAnsi="Times New Roman"/>
                <w:sz w:val="24"/>
                <w:szCs w:val="24"/>
              </w:rPr>
            </w:pPr>
            <w:r w:rsidRPr="004207EA">
              <w:rPr>
                <w:rFonts w:ascii="Times New Roman" w:hAnsi="Times New Roman"/>
                <w:sz w:val="24"/>
                <w:szCs w:val="24"/>
              </w:rPr>
              <w:t>Дата и время начала торговой сессии</w:t>
            </w:r>
          </w:p>
        </w:tc>
        <w:tc>
          <w:tcPr>
            <w:tcW w:w="2815" w:type="dxa"/>
            <w:tcBorders>
              <w:bottom w:val="single" w:sz="4" w:space="0" w:color="auto"/>
            </w:tcBorders>
          </w:tcPr>
          <w:p w:rsidR="00BD3114" w:rsidRPr="00706987" w:rsidRDefault="00BD3114" w:rsidP="00BB61D9">
            <w:pPr>
              <w:widowControl w:val="0"/>
              <w:jc w:val="both"/>
              <w:rPr>
                <w:rFonts w:ascii="Times New Roman" w:hAnsi="Times New Roman"/>
                <w:sz w:val="24"/>
                <w:szCs w:val="24"/>
              </w:rPr>
            </w:pPr>
            <w:r>
              <w:rPr>
                <w:rFonts w:ascii="Times New Roman" w:hAnsi="Times New Roman"/>
                <w:sz w:val="24"/>
                <w:szCs w:val="24"/>
              </w:rPr>
              <w:t>11</w:t>
            </w:r>
            <w:r w:rsidRPr="00706987">
              <w:rPr>
                <w:rFonts w:ascii="Times New Roman" w:hAnsi="Times New Roman"/>
                <w:sz w:val="24"/>
                <w:szCs w:val="24"/>
              </w:rPr>
              <w:t>.1</w:t>
            </w:r>
            <w:r>
              <w:rPr>
                <w:rFonts w:ascii="Times New Roman" w:hAnsi="Times New Roman"/>
                <w:sz w:val="24"/>
                <w:szCs w:val="24"/>
              </w:rPr>
              <w:t>2</w:t>
            </w:r>
            <w:r w:rsidRPr="00706987">
              <w:rPr>
                <w:rFonts w:ascii="Times New Roman" w:hAnsi="Times New Roman"/>
                <w:sz w:val="24"/>
                <w:szCs w:val="24"/>
              </w:rPr>
              <w:t>.2024 09:00 (МСК)</w:t>
            </w:r>
          </w:p>
        </w:tc>
        <w:tc>
          <w:tcPr>
            <w:tcW w:w="4216" w:type="dxa"/>
            <w:vMerge/>
            <w:tcBorders>
              <w:bottom w:val="single" w:sz="4" w:space="0" w:color="auto"/>
            </w:tcBorders>
          </w:tcPr>
          <w:p w:rsidR="00BD3114" w:rsidRPr="004207EA" w:rsidRDefault="00BD3114" w:rsidP="00BB61D9">
            <w:pPr>
              <w:widowControl w:val="0"/>
              <w:jc w:val="both"/>
              <w:rPr>
                <w:rFonts w:ascii="Times New Roman" w:hAnsi="Times New Roman"/>
                <w:sz w:val="24"/>
                <w:szCs w:val="24"/>
              </w:rPr>
            </w:pPr>
          </w:p>
        </w:tc>
      </w:tr>
    </w:tbl>
    <w:p w:rsidR="00BD3114" w:rsidRPr="00BD3114" w:rsidRDefault="00BD3114" w:rsidP="00BD3114">
      <w:pPr>
        <w:jc w:val="center"/>
        <w:rPr>
          <w:rFonts w:ascii="Times New Roman" w:hAnsi="Times New Roman" w:cs="Times New Roman"/>
          <w:sz w:val="24"/>
          <w:szCs w:val="24"/>
        </w:rPr>
      </w:pPr>
    </w:p>
    <w:sectPr w:rsidR="00BD3114" w:rsidRPr="00BD3114" w:rsidSect="00D35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3114"/>
    <w:rsid w:val="00176AE8"/>
    <w:rsid w:val="00254027"/>
    <w:rsid w:val="00503108"/>
    <w:rsid w:val="005E0FDB"/>
    <w:rsid w:val="00AA4C22"/>
    <w:rsid w:val="00BA097E"/>
    <w:rsid w:val="00BD3114"/>
    <w:rsid w:val="00D3562E"/>
    <w:rsid w:val="00E75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3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D3114"/>
    <w:rPr>
      <w:color w:val="0000FF" w:themeColor="hyperlink"/>
      <w:u w:val="single"/>
    </w:rPr>
  </w:style>
  <w:style w:type="paragraph" w:customStyle="1" w:styleId="Standard">
    <w:name w:val="Standard"/>
    <w:rsid w:val="00BD3114"/>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D3114"/>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tp.sberbank-ast.ru/AP/List/BidList/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2024-11-18T11:18:00Z</dcterms:created>
  <dcterms:modified xsi:type="dcterms:W3CDTF">2024-11-18T11:21:00Z</dcterms:modified>
</cp:coreProperties>
</file>