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8E6A3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6A49DC">
        <w:rPr>
          <w:sz w:val="20"/>
          <w:szCs w:val="20"/>
        </w:rPr>
        <w:t>5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375A1F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375A1F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375A1F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8A176C" w:rsidRDefault="008A176C" w:rsidP="008A176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Езда на самокате</w:t>
      </w:r>
    </w:p>
    <w:p w:rsidR="008A176C" w:rsidRDefault="008A176C" w:rsidP="008A176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581" w:rsidRPr="002F019E" w:rsidRDefault="00E83581" w:rsidP="00E835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F019E">
        <w:rPr>
          <w:rFonts w:ascii="Times New Roman" w:hAnsi="Times New Roman"/>
          <w:sz w:val="28"/>
          <w:szCs w:val="28"/>
        </w:rPr>
        <w:t xml:space="preserve"> Правила дорожного движения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019E">
        <w:rPr>
          <w:rFonts w:ascii="Times New Roman" w:hAnsi="Times New Roman"/>
          <w:sz w:val="28"/>
          <w:szCs w:val="28"/>
        </w:rPr>
        <w:t>ведено понятие «средство индивидуальной мобильности», под которым понимается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2F019E">
        <w:rPr>
          <w:rFonts w:ascii="Times New Roman" w:hAnsi="Times New Roman"/>
          <w:sz w:val="28"/>
          <w:szCs w:val="28"/>
        </w:rPr>
        <w:t>электросамокаты</w:t>
      </w:r>
      <w:proofErr w:type="spellEnd"/>
      <w:r w:rsidRPr="002F0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19E">
        <w:rPr>
          <w:rFonts w:ascii="Times New Roman" w:hAnsi="Times New Roman"/>
          <w:sz w:val="28"/>
          <w:szCs w:val="28"/>
        </w:rPr>
        <w:t>электроскейтборды</w:t>
      </w:r>
      <w:proofErr w:type="spellEnd"/>
      <w:r w:rsidRPr="002F0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19E">
        <w:rPr>
          <w:rFonts w:ascii="Times New Roman" w:hAnsi="Times New Roman"/>
          <w:sz w:val="28"/>
          <w:szCs w:val="28"/>
        </w:rPr>
        <w:t>гироскутеры</w:t>
      </w:r>
      <w:proofErr w:type="spellEnd"/>
      <w:r w:rsidRPr="002F0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19E">
        <w:rPr>
          <w:rFonts w:ascii="Times New Roman" w:hAnsi="Times New Roman"/>
          <w:sz w:val="28"/>
          <w:szCs w:val="28"/>
        </w:rPr>
        <w:t>сигвеи</w:t>
      </w:r>
      <w:proofErr w:type="spellEnd"/>
      <w:r w:rsidRPr="002F01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19E">
        <w:rPr>
          <w:rFonts w:ascii="Times New Roman" w:hAnsi="Times New Roman"/>
          <w:sz w:val="28"/>
          <w:szCs w:val="28"/>
        </w:rPr>
        <w:t>моноколеса</w:t>
      </w:r>
      <w:proofErr w:type="spellEnd"/>
      <w:r w:rsidRPr="002F019E">
        <w:rPr>
          <w:rFonts w:ascii="Times New Roman" w:hAnsi="Times New Roman"/>
          <w:sz w:val="28"/>
          <w:szCs w:val="28"/>
        </w:rPr>
        <w:t xml:space="preserve"> и иные аналогичные средства).</w:t>
      </w:r>
    </w:p>
    <w:p w:rsidR="00E83581" w:rsidRPr="002F019E" w:rsidRDefault="00E83581" w:rsidP="00E835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019E">
        <w:rPr>
          <w:rFonts w:ascii="Times New Roman" w:hAnsi="Times New Roman"/>
          <w:sz w:val="28"/>
          <w:szCs w:val="28"/>
        </w:rPr>
        <w:t>Лица, использующие для передвижения средства индивидуальной мобильности, должны руководствоваться сигналами регулировщика для пешеходо</w:t>
      </w:r>
      <w:bookmarkStart w:id="0" w:name="_GoBack"/>
      <w:bookmarkEnd w:id="0"/>
      <w:r w:rsidRPr="002F019E">
        <w:rPr>
          <w:rFonts w:ascii="Times New Roman" w:hAnsi="Times New Roman"/>
          <w:sz w:val="28"/>
          <w:szCs w:val="28"/>
        </w:rPr>
        <w:t>в.</w:t>
      </w:r>
    </w:p>
    <w:p w:rsidR="00E83581" w:rsidRPr="002F019E" w:rsidRDefault="00E83581" w:rsidP="00E835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019E">
        <w:rPr>
          <w:rFonts w:ascii="Times New Roman" w:hAnsi="Times New Roman"/>
          <w:sz w:val="28"/>
          <w:szCs w:val="28"/>
        </w:rPr>
        <w:t>Допускается движение лиц в возрасте старше 14 лет, использующих для передвижения средства индивидуальной мобильности:</w:t>
      </w:r>
    </w:p>
    <w:p w:rsidR="00E83581" w:rsidRPr="002F019E" w:rsidRDefault="00E83581" w:rsidP="00E835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019E">
        <w:rPr>
          <w:rFonts w:ascii="Times New Roman" w:hAnsi="Times New Roman"/>
          <w:sz w:val="28"/>
          <w:szCs w:val="28"/>
        </w:rPr>
        <w:t>- в пешеходной зоне - в случае, если масса средства индивидуальной мобильности не превышает 35 кг;</w:t>
      </w:r>
    </w:p>
    <w:p w:rsidR="00E83581" w:rsidRPr="002F019E" w:rsidRDefault="00E83581" w:rsidP="00E835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019E">
        <w:rPr>
          <w:rFonts w:ascii="Times New Roman" w:hAnsi="Times New Roman"/>
          <w:sz w:val="28"/>
          <w:szCs w:val="28"/>
        </w:rPr>
        <w:t>- по тротуару, пешеходной дорожке - в случае, если масса средства индивидуальной мобильности не превышает 35 кг, и при соблюдении одного из установленных условий.</w:t>
      </w:r>
    </w:p>
    <w:p w:rsidR="00E83581" w:rsidRPr="002F019E" w:rsidRDefault="00E83581" w:rsidP="00E835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019E">
        <w:rPr>
          <w:rFonts w:ascii="Times New Roman" w:hAnsi="Times New Roman"/>
          <w:sz w:val="28"/>
          <w:szCs w:val="28"/>
        </w:rPr>
        <w:t>Движение лиц, использующих для передвижения средства индивидуальной мобильности, разрешается со скоростью не более 25 км/ч.</w:t>
      </w:r>
    </w:p>
    <w:p w:rsidR="00E83581" w:rsidRPr="002F019E" w:rsidRDefault="00E83581" w:rsidP="00E8358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019E">
        <w:rPr>
          <w:rFonts w:ascii="Times New Roman" w:hAnsi="Times New Roman"/>
          <w:sz w:val="28"/>
          <w:szCs w:val="28"/>
        </w:rPr>
        <w:t>Во всех случаях совмещенного с пешеходами движения велосипедистов и лиц, использующих для передвижения средства индивидуальной мобильности, пешеходы имеют приоритет.</w:t>
      </w:r>
    </w:p>
    <w:p w:rsidR="00E83581" w:rsidRDefault="00E83581" w:rsidP="00E8358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A39" w:rsidRPr="00310A67" w:rsidRDefault="008E6A38" w:rsidP="006531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> </w:t>
      </w:r>
    </w:p>
    <w:sectPr w:rsidR="00453A39" w:rsidRPr="00310A67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1D0800"/>
    <w:rsid w:val="001E7C5D"/>
    <w:rsid w:val="00245E13"/>
    <w:rsid w:val="00253B34"/>
    <w:rsid w:val="00261A24"/>
    <w:rsid w:val="00310A67"/>
    <w:rsid w:val="003317EE"/>
    <w:rsid w:val="00375A1F"/>
    <w:rsid w:val="004323FE"/>
    <w:rsid w:val="00453A39"/>
    <w:rsid w:val="00527C35"/>
    <w:rsid w:val="00564142"/>
    <w:rsid w:val="005A1AF7"/>
    <w:rsid w:val="00653139"/>
    <w:rsid w:val="006A49DC"/>
    <w:rsid w:val="006B4793"/>
    <w:rsid w:val="007C5C7B"/>
    <w:rsid w:val="007D672D"/>
    <w:rsid w:val="008A176C"/>
    <w:rsid w:val="008C6AC5"/>
    <w:rsid w:val="008E6A38"/>
    <w:rsid w:val="009414D2"/>
    <w:rsid w:val="009E6A5A"/>
    <w:rsid w:val="00BC7CA8"/>
    <w:rsid w:val="00C12A6B"/>
    <w:rsid w:val="00C16EB0"/>
    <w:rsid w:val="00C81787"/>
    <w:rsid w:val="00CD08E1"/>
    <w:rsid w:val="00CF4137"/>
    <w:rsid w:val="00D07A89"/>
    <w:rsid w:val="00D159B8"/>
    <w:rsid w:val="00D214C5"/>
    <w:rsid w:val="00E02F36"/>
    <w:rsid w:val="00E16EFD"/>
    <w:rsid w:val="00E25B9F"/>
    <w:rsid w:val="00E558E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99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21</cp:revision>
  <dcterms:created xsi:type="dcterms:W3CDTF">2023-07-21T11:29:00Z</dcterms:created>
  <dcterms:modified xsi:type="dcterms:W3CDTF">2023-12-26T12:21:00Z</dcterms:modified>
</cp:coreProperties>
</file>