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003DAE">
                              <w:rPr>
                                <w:rFonts w:ascii="Arial" w:hAnsi="Arial" w:cs="Arial"/>
                                <w:i/>
                                <w:iCs/>
                                <w:sz w:val="16"/>
                                <w:szCs w:val="16"/>
                              </w:rPr>
                              <w:t>ыпуск № 55(787</w:t>
                            </w:r>
                            <w:r>
                              <w:rPr>
                                <w:rFonts w:ascii="Arial" w:hAnsi="Arial" w:cs="Arial"/>
                                <w:i/>
                                <w:iCs/>
                                <w:sz w:val="16"/>
                                <w:szCs w:val="16"/>
                              </w:rPr>
                              <w:t xml:space="preserve">)       </w:t>
                            </w:r>
                            <w:r w:rsidR="00003DAE">
                              <w:rPr>
                                <w:rFonts w:ascii="Arial" w:hAnsi="Arial" w:cs="Arial"/>
                                <w:i/>
                                <w:iCs/>
                                <w:sz w:val="16"/>
                                <w:szCs w:val="16"/>
                              </w:rPr>
                              <w:t>9</w:t>
                            </w:r>
                            <w:r>
                              <w:rPr>
                                <w:rFonts w:ascii="Arial" w:hAnsi="Arial" w:cs="Arial"/>
                                <w:i/>
                                <w:iCs/>
                                <w:sz w:val="16"/>
                                <w:szCs w:val="16"/>
                              </w:rPr>
                              <w:t xml:space="preserve"> </w:t>
                            </w:r>
                            <w:r w:rsidR="00003DAE">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003DAE">
                        <w:rPr>
                          <w:rFonts w:ascii="Arial" w:hAnsi="Arial" w:cs="Arial"/>
                          <w:i/>
                          <w:iCs/>
                          <w:sz w:val="16"/>
                          <w:szCs w:val="16"/>
                        </w:rPr>
                        <w:t>ыпуск № 55(787</w:t>
                      </w:r>
                      <w:r>
                        <w:rPr>
                          <w:rFonts w:ascii="Arial" w:hAnsi="Arial" w:cs="Arial"/>
                          <w:i/>
                          <w:iCs/>
                          <w:sz w:val="16"/>
                          <w:szCs w:val="16"/>
                        </w:rPr>
                        <w:t xml:space="preserve">)       </w:t>
                      </w:r>
                      <w:r w:rsidR="00003DAE">
                        <w:rPr>
                          <w:rFonts w:ascii="Arial" w:hAnsi="Arial" w:cs="Arial"/>
                          <w:i/>
                          <w:iCs/>
                          <w:sz w:val="16"/>
                          <w:szCs w:val="16"/>
                        </w:rPr>
                        <w:t>9</w:t>
                      </w:r>
                      <w:r>
                        <w:rPr>
                          <w:rFonts w:ascii="Arial" w:hAnsi="Arial" w:cs="Arial"/>
                          <w:i/>
                          <w:iCs/>
                          <w:sz w:val="16"/>
                          <w:szCs w:val="16"/>
                        </w:rPr>
                        <w:t xml:space="preserve"> </w:t>
                      </w:r>
                      <w:r w:rsidR="00003DAE">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381B" w:rsidRPr="00D1381B" w:rsidRDefault="00D1381B" w:rsidP="00D1381B">
                            <w:pPr>
                              <w:tabs>
                                <w:tab w:val="left" w:pos="1080"/>
                                <w:tab w:val="left" w:pos="1620"/>
                              </w:tabs>
                              <w:spacing w:line="240" w:lineRule="atLeast"/>
                              <w:jc w:val="both"/>
                              <w:rPr>
                                <w:sz w:val="22"/>
                                <w:szCs w:val="22"/>
                              </w:rPr>
                            </w:pPr>
                            <w:bookmarkStart w:id="0" w:name="P02E8"/>
                            <w:bookmarkEnd w:id="0"/>
                          </w:p>
                          <w:p w:rsidR="00D1381B" w:rsidRPr="004B698B" w:rsidRDefault="00D1381B" w:rsidP="004B698B">
                            <w:pPr>
                              <w:widowControl w:val="0"/>
                              <w:autoSpaceDE w:val="0"/>
                              <w:autoSpaceDN w:val="0"/>
                              <w:adjustRightInd w:val="0"/>
                              <w:jc w:val="both"/>
                              <w:rPr>
                                <w:sz w:val="18"/>
                                <w:szCs w:val="18"/>
                              </w:rPr>
                            </w:pP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Соглашение</w:t>
                            </w: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 xml:space="preserve">о предоставлении иных межбюджетных трансфертов бюджету </w:t>
                            </w: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городского поселения Агириш</w:t>
                            </w:r>
                          </w:p>
                          <w:p w:rsidR="00003DAE" w:rsidRPr="00003DAE" w:rsidRDefault="00003DAE" w:rsidP="00003DAE">
                            <w:pPr>
                              <w:widowControl w:val="0"/>
                              <w:autoSpaceDE w:val="0"/>
                              <w:autoSpaceDN w:val="0"/>
                              <w:adjustRightInd w:val="0"/>
                              <w:rPr>
                                <w:sz w:val="18"/>
                                <w:szCs w:val="18"/>
                              </w:rPr>
                            </w:pPr>
                          </w:p>
                          <w:p w:rsidR="00003DAE" w:rsidRPr="00003DAE" w:rsidRDefault="00003DAE" w:rsidP="00003DAE">
                            <w:pPr>
                              <w:widowControl w:val="0"/>
                              <w:autoSpaceDE w:val="0"/>
                              <w:autoSpaceDN w:val="0"/>
                              <w:adjustRightInd w:val="0"/>
                              <w:jc w:val="center"/>
                              <w:rPr>
                                <w:sz w:val="18"/>
                                <w:szCs w:val="18"/>
                              </w:rPr>
                            </w:pPr>
                            <w:r>
                              <w:rPr>
                                <w:sz w:val="18"/>
                                <w:szCs w:val="18"/>
                              </w:rPr>
                              <w:t xml:space="preserve">г. Советский  </w:t>
                            </w:r>
                            <w:r>
                              <w:rPr>
                                <w:sz w:val="18"/>
                                <w:szCs w:val="18"/>
                              </w:rPr>
                              <w:tab/>
                            </w:r>
                            <w:r>
                              <w:rPr>
                                <w:sz w:val="18"/>
                                <w:szCs w:val="18"/>
                              </w:rPr>
                              <w:tab/>
                            </w:r>
                            <w:r>
                              <w:rPr>
                                <w:sz w:val="18"/>
                                <w:szCs w:val="18"/>
                              </w:rPr>
                              <w:tab/>
                            </w:r>
                            <w:r>
                              <w:rPr>
                                <w:sz w:val="18"/>
                                <w:szCs w:val="18"/>
                              </w:rPr>
                              <w:tab/>
                            </w:r>
                            <w:r>
                              <w:rPr>
                                <w:sz w:val="18"/>
                                <w:szCs w:val="18"/>
                              </w:rPr>
                              <w:tab/>
                            </w:r>
                            <w:r w:rsidRPr="00003DAE">
                              <w:rPr>
                                <w:sz w:val="18"/>
                                <w:szCs w:val="18"/>
                              </w:rPr>
                              <w:t>09 августа 2023 г.</w:t>
                            </w:r>
                          </w:p>
                          <w:p w:rsidR="00003DAE" w:rsidRPr="00003DAE" w:rsidRDefault="00003DAE" w:rsidP="00003DAE">
                            <w:pPr>
                              <w:widowControl w:val="0"/>
                              <w:autoSpaceDE w:val="0"/>
                              <w:autoSpaceDN w:val="0"/>
                              <w:adjustRightInd w:val="0"/>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roofErr w:type="gramStart"/>
                            <w:r w:rsidRPr="00003DAE">
                              <w:rPr>
                                <w:sz w:val="18"/>
                                <w:szCs w:val="18"/>
                              </w:rPr>
                              <w:t xml:space="preserve">Администрация Советского района, именуемая далее - Администрация района, </w:t>
                            </w:r>
                            <w:r w:rsidRPr="00003DAE">
                              <w:rPr>
                                <w:bCs/>
                                <w:sz w:val="18"/>
                                <w:szCs w:val="18"/>
                              </w:rPr>
                              <w:t xml:space="preserve">в </w:t>
                            </w:r>
                            <w:r w:rsidRPr="00003DAE">
                              <w:rPr>
                                <w:sz w:val="18"/>
                                <w:szCs w:val="18"/>
                              </w:rPr>
                              <w:t>лице главы Советского района Буренкова Евгения Ивановича</w:t>
                            </w:r>
                            <w:r w:rsidRPr="00003DAE">
                              <w:rPr>
                                <w:b/>
                                <w:bCs/>
                                <w:sz w:val="18"/>
                                <w:szCs w:val="18"/>
                              </w:rPr>
                              <w:t xml:space="preserve">, </w:t>
                            </w:r>
                            <w:r w:rsidRPr="00003DAE">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в соответствии с Бюджетным кодексом Российской Федерации, постановлением Думы Ханты-Мансийского автономного</w:t>
                            </w:r>
                            <w:proofErr w:type="gramEnd"/>
                            <w:r w:rsidRPr="00003DAE">
                              <w:rPr>
                                <w:sz w:val="18"/>
                                <w:szCs w:val="18"/>
                              </w:rPr>
                              <w:t xml:space="preserve"> </w:t>
                            </w:r>
                            <w:proofErr w:type="gramStart"/>
                            <w:r w:rsidRPr="00003DAE">
                              <w:rPr>
                                <w:sz w:val="18"/>
                                <w:szCs w:val="18"/>
                              </w:rPr>
                              <w:t>округа – Югры от 29.06.2023 № 796 «Об утверждении перечня наказов избирателей депутатам Думы Ханты-Мансийского автономного округа - Югры на третий квартал 2023 года»,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29.10.2018 № 2332 «О муниципальной программе «Развитие физической культуры и спорта, укрепление общественного здоровья на территории Советского</w:t>
                            </w:r>
                            <w:proofErr w:type="gramEnd"/>
                            <w:r w:rsidRPr="00003DAE">
                              <w:rPr>
                                <w:sz w:val="18"/>
                                <w:szCs w:val="18"/>
                              </w:rPr>
                              <w:t xml:space="preserve"> района», постановлением администрации Советского района от 09.08.2023 № 1244 «О предоставлении иных межбюджетных трансфертов», заключили настоящее соглашение о нижеследующем:</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D1381B" w:rsidRPr="00D1381B" w:rsidRDefault="00D1381B" w:rsidP="00D1381B">
                      <w:pPr>
                        <w:tabs>
                          <w:tab w:val="left" w:pos="1080"/>
                          <w:tab w:val="left" w:pos="1620"/>
                        </w:tabs>
                        <w:spacing w:line="240" w:lineRule="atLeast"/>
                        <w:jc w:val="both"/>
                        <w:rPr>
                          <w:sz w:val="22"/>
                          <w:szCs w:val="22"/>
                        </w:rPr>
                      </w:pPr>
                      <w:bookmarkStart w:id="1" w:name="P02E8"/>
                      <w:bookmarkEnd w:id="1"/>
                    </w:p>
                    <w:p w:rsidR="00D1381B" w:rsidRPr="004B698B" w:rsidRDefault="00D1381B" w:rsidP="004B698B">
                      <w:pPr>
                        <w:widowControl w:val="0"/>
                        <w:autoSpaceDE w:val="0"/>
                        <w:autoSpaceDN w:val="0"/>
                        <w:adjustRightInd w:val="0"/>
                        <w:jc w:val="both"/>
                        <w:rPr>
                          <w:sz w:val="18"/>
                          <w:szCs w:val="18"/>
                        </w:rPr>
                      </w:pP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Соглашение</w:t>
                      </w: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 xml:space="preserve">о предоставлении иных межбюджетных трансфертов бюджету </w:t>
                      </w:r>
                    </w:p>
                    <w:p w:rsidR="00003DAE" w:rsidRPr="00003DAE" w:rsidRDefault="00003DAE" w:rsidP="00003DAE">
                      <w:pPr>
                        <w:widowControl w:val="0"/>
                        <w:autoSpaceDE w:val="0"/>
                        <w:autoSpaceDN w:val="0"/>
                        <w:adjustRightInd w:val="0"/>
                        <w:jc w:val="center"/>
                        <w:outlineLvl w:val="0"/>
                        <w:rPr>
                          <w:b/>
                          <w:sz w:val="18"/>
                          <w:szCs w:val="18"/>
                        </w:rPr>
                      </w:pPr>
                      <w:r w:rsidRPr="00003DAE">
                        <w:rPr>
                          <w:b/>
                          <w:sz w:val="18"/>
                          <w:szCs w:val="18"/>
                        </w:rPr>
                        <w:t>городского поселения Агириш</w:t>
                      </w:r>
                    </w:p>
                    <w:p w:rsidR="00003DAE" w:rsidRPr="00003DAE" w:rsidRDefault="00003DAE" w:rsidP="00003DAE">
                      <w:pPr>
                        <w:widowControl w:val="0"/>
                        <w:autoSpaceDE w:val="0"/>
                        <w:autoSpaceDN w:val="0"/>
                        <w:adjustRightInd w:val="0"/>
                        <w:rPr>
                          <w:sz w:val="18"/>
                          <w:szCs w:val="18"/>
                        </w:rPr>
                      </w:pPr>
                    </w:p>
                    <w:p w:rsidR="00003DAE" w:rsidRPr="00003DAE" w:rsidRDefault="00003DAE" w:rsidP="00003DAE">
                      <w:pPr>
                        <w:widowControl w:val="0"/>
                        <w:autoSpaceDE w:val="0"/>
                        <w:autoSpaceDN w:val="0"/>
                        <w:adjustRightInd w:val="0"/>
                        <w:jc w:val="center"/>
                        <w:rPr>
                          <w:sz w:val="18"/>
                          <w:szCs w:val="18"/>
                        </w:rPr>
                      </w:pPr>
                      <w:r>
                        <w:rPr>
                          <w:sz w:val="18"/>
                          <w:szCs w:val="18"/>
                        </w:rPr>
                        <w:t xml:space="preserve">г. Советский  </w:t>
                      </w:r>
                      <w:r>
                        <w:rPr>
                          <w:sz w:val="18"/>
                          <w:szCs w:val="18"/>
                        </w:rPr>
                        <w:tab/>
                      </w:r>
                      <w:r>
                        <w:rPr>
                          <w:sz w:val="18"/>
                          <w:szCs w:val="18"/>
                        </w:rPr>
                        <w:tab/>
                      </w:r>
                      <w:r>
                        <w:rPr>
                          <w:sz w:val="18"/>
                          <w:szCs w:val="18"/>
                        </w:rPr>
                        <w:tab/>
                      </w:r>
                      <w:r>
                        <w:rPr>
                          <w:sz w:val="18"/>
                          <w:szCs w:val="18"/>
                        </w:rPr>
                        <w:tab/>
                      </w:r>
                      <w:r>
                        <w:rPr>
                          <w:sz w:val="18"/>
                          <w:szCs w:val="18"/>
                        </w:rPr>
                        <w:tab/>
                      </w:r>
                      <w:r w:rsidRPr="00003DAE">
                        <w:rPr>
                          <w:sz w:val="18"/>
                          <w:szCs w:val="18"/>
                        </w:rPr>
                        <w:t>09 августа 2023 г.</w:t>
                      </w:r>
                    </w:p>
                    <w:p w:rsidR="00003DAE" w:rsidRPr="00003DAE" w:rsidRDefault="00003DAE" w:rsidP="00003DAE">
                      <w:pPr>
                        <w:widowControl w:val="0"/>
                        <w:autoSpaceDE w:val="0"/>
                        <w:autoSpaceDN w:val="0"/>
                        <w:adjustRightInd w:val="0"/>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roofErr w:type="gramStart"/>
                      <w:r w:rsidRPr="00003DAE">
                        <w:rPr>
                          <w:sz w:val="18"/>
                          <w:szCs w:val="18"/>
                        </w:rPr>
                        <w:t xml:space="preserve">Администрация Советского района, именуемая далее - Администрация района, </w:t>
                      </w:r>
                      <w:r w:rsidRPr="00003DAE">
                        <w:rPr>
                          <w:bCs/>
                          <w:sz w:val="18"/>
                          <w:szCs w:val="18"/>
                        </w:rPr>
                        <w:t xml:space="preserve">в </w:t>
                      </w:r>
                      <w:r w:rsidRPr="00003DAE">
                        <w:rPr>
                          <w:sz w:val="18"/>
                          <w:szCs w:val="18"/>
                        </w:rPr>
                        <w:t>лице главы Советского района Буренкова Евгения Ивановича</w:t>
                      </w:r>
                      <w:r w:rsidRPr="00003DAE">
                        <w:rPr>
                          <w:b/>
                          <w:bCs/>
                          <w:sz w:val="18"/>
                          <w:szCs w:val="18"/>
                        </w:rPr>
                        <w:t xml:space="preserve">, </w:t>
                      </w:r>
                      <w:r w:rsidRPr="00003DAE">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в соответствии с Бюджетным кодексом Российской Федерации, постановлением Думы Ханты-Мансийского автономного</w:t>
                      </w:r>
                      <w:proofErr w:type="gramEnd"/>
                      <w:r w:rsidRPr="00003DAE">
                        <w:rPr>
                          <w:sz w:val="18"/>
                          <w:szCs w:val="18"/>
                        </w:rPr>
                        <w:t xml:space="preserve"> </w:t>
                      </w:r>
                      <w:proofErr w:type="gramStart"/>
                      <w:r w:rsidRPr="00003DAE">
                        <w:rPr>
                          <w:sz w:val="18"/>
                          <w:szCs w:val="18"/>
                        </w:rPr>
                        <w:t>округа – Югры от 29.06.2023 № 796 «Об утверждении перечня наказов избирателей депутатам Думы Ханты-Мансийского автономного округа - Югры на третий квартал 2023 года»,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29.10.2018 № 2332 «О муниципальной программе «Развитие физической культуры и спорта, укрепление общественного здоровья на территории Советского</w:t>
                      </w:r>
                      <w:proofErr w:type="gramEnd"/>
                      <w:r w:rsidRPr="00003DAE">
                        <w:rPr>
                          <w:sz w:val="18"/>
                          <w:szCs w:val="18"/>
                        </w:rPr>
                        <w:t xml:space="preserve"> района», постановлением администрации Советского района от 09.08.2023 № 1244 «О предоставлении иных межбюджетных трансфертов», заключили настоящее соглашение о нижеследующем:</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003DAE" w:rsidP="001A4103">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Соглашение от 9.08.2023</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bookmarkStart w:id="4" w:name="P004D"/>
      <w:bookmarkEnd w:id="3"/>
      <w:bookmarkEnd w:id="4"/>
      <w:r w:rsidRPr="00003DAE">
        <w:rPr>
          <w:sz w:val="18"/>
          <w:szCs w:val="18"/>
        </w:rPr>
        <w:lastRenderedPageBreak/>
        <w:t xml:space="preserve">Предметом настоящего Соглашения является предоставление бюджету городского поселения Агириш иных межбюджетных трансфертов для Муниципального бюджетного учреждения Культурно-спортивный комплекс «Современник» </w:t>
      </w:r>
      <w:proofErr w:type="spellStart"/>
      <w:r w:rsidRPr="00003DAE">
        <w:rPr>
          <w:sz w:val="18"/>
          <w:szCs w:val="18"/>
        </w:rPr>
        <w:t>г.п</w:t>
      </w:r>
      <w:proofErr w:type="spellEnd"/>
      <w:r w:rsidRPr="00003DAE">
        <w:rPr>
          <w:sz w:val="18"/>
          <w:szCs w:val="18"/>
        </w:rPr>
        <w:t>. Агириш, в целях оказания финансовой помощи на ремонт пола в спортивном зале, в рамках реализации муниципальной программы «</w:t>
      </w:r>
      <w:r w:rsidRPr="00003DAE">
        <w:rPr>
          <w:color w:val="000000"/>
          <w:sz w:val="18"/>
          <w:szCs w:val="18"/>
        </w:rPr>
        <w:t>Развитие физической культуры и спорта, укрепление общественного здоровья на территории Советского района</w:t>
      </w:r>
      <w:r w:rsidRPr="00003DAE">
        <w:rPr>
          <w:sz w:val="18"/>
          <w:szCs w:val="18"/>
        </w:rPr>
        <w:t>», утвержденной постановлением администрации Советского района от 29.10.2018 № 2332 (далее иные межбюджетные трансферты).</w:t>
      </w: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r w:rsidRPr="00003DAE">
        <w:rPr>
          <w:sz w:val="18"/>
          <w:szCs w:val="18"/>
        </w:rPr>
        <w:t>Иные межбюджетные трансферты предоставляются в размере 250 000 (Двести пятьдесят тысяч) рублей 00 копеек.</w:t>
      </w: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r w:rsidRPr="00003DAE">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r w:rsidRPr="00003DAE">
        <w:rPr>
          <w:sz w:val="18"/>
          <w:szCs w:val="18"/>
        </w:rPr>
        <w:t>Настоящее Соглашение вступает в силу после его официального опубликования (обнародования) Сторонами, действует до полного исполнения Сторонами взятых на себя обязательств.</w:t>
      </w: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r w:rsidRPr="00003DAE">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10 рабочих дней 2024 года.</w:t>
      </w:r>
    </w:p>
    <w:p w:rsidR="00003DAE" w:rsidRPr="00003DAE" w:rsidRDefault="00003DAE" w:rsidP="00003DAE">
      <w:pPr>
        <w:widowControl w:val="0"/>
        <w:numPr>
          <w:ilvl w:val="0"/>
          <w:numId w:val="52"/>
        </w:numPr>
        <w:tabs>
          <w:tab w:val="left" w:pos="284"/>
          <w:tab w:val="left" w:pos="1134"/>
        </w:tabs>
        <w:autoSpaceDE w:val="0"/>
        <w:autoSpaceDN w:val="0"/>
        <w:adjustRightInd w:val="0"/>
        <w:ind w:firstLine="709"/>
        <w:jc w:val="both"/>
        <w:rPr>
          <w:sz w:val="18"/>
          <w:szCs w:val="18"/>
        </w:rPr>
      </w:pPr>
      <w:r w:rsidRPr="00003DAE">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003DAE" w:rsidRPr="00003DAE" w:rsidRDefault="00003DAE" w:rsidP="00003DAE">
      <w:pPr>
        <w:widowControl w:val="0"/>
        <w:tabs>
          <w:tab w:val="left" w:pos="1134"/>
        </w:tabs>
        <w:autoSpaceDE w:val="0"/>
        <w:autoSpaceDN w:val="0"/>
        <w:adjustRightInd w:val="0"/>
        <w:ind w:firstLine="709"/>
        <w:jc w:val="both"/>
        <w:rPr>
          <w:b/>
          <w:sz w:val="18"/>
          <w:szCs w:val="18"/>
        </w:rPr>
      </w:pPr>
    </w:p>
    <w:p w:rsidR="00003DAE" w:rsidRPr="00003DAE" w:rsidRDefault="00003DAE" w:rsidP="00003DAE">
      <w:pPr>
        <w:widowControl w:val="0"/>
        <w:tabs>
          <w:tab w:val="left" w:pos="1134"/>
        </w:tabs>
        <w:autoSpaceDE w:val="0"/>
        <w:autoSpaceDN w:val="0"/>
        <w:adjustRightInd w:val="0"/>
        <w:ind w:firstLine="709"/>
        <w:jc w:val="both"/>
        <w:rPr>
          <w:b/>
          <w:sz w:val="18"/>
          <w:szCs w:val="18"/>
        </w:rPr>
      </w:pPr>
    </w:p>
    <w:p w:rsidR="00003DAE" w:rsidRPr="00003DAE" w:rsidRDefault="00003DAE" w:rsidP="00003DAE">
      <w:pPr>
        <w:widowControl w:val="0"/>
        <w:autoSpaceDE w:val="0"/>
        <w:autoSpaceDN w:val="0"/>
        <w:adjustRightInd w:val="0"/>
        <w:jc w:val="both"/>
        <w:outlineLvl w:val="0"/>
        <w:rPr>
          <w:b/>
          <w:sz w:val="18"/>
          <w:szCs w:val="18"/>
        </w:rPr>
      </w:pPr>
      <w:r w:rsidRPr="00003DAE">
        <w:rPr>
          <w:b/>
          <w:sz w:val="18"/>
          <w:szCs w:val="18"/>
        </w:rPr>
        <w:t>Подписи сторон:</w:t>
      </w:r>
    </w:p>
    <w:p w:rsidR="00003DAE" w:rsidRPr="00003DAE" w:rsidRDefault="00003DAE" w:rsidP="00003DAE">
      <w:pPr>
        <w:widowControl w:val="0"/>
        <w:autoSpaceDE w:val="0"/>
        <w:autoSpaceDN w:val="0"/>
        <w:adjustRightInd w:val="0"/>
        <w:jc w:val="both"/>
        <w:outlineLvl w:val="0"/>
        <w:rPr>
          <w:b/>
          <w:sz w:val="18"/>
          <w:szCs w:val="18"/>
        </w:rPr>
      </w:pPr>
    </w:p>
    <w:p w:rsidR="00003DAE" w:rsidRPr="00003DAE" w:rsidRDefault="00003DAE" w:rsidP="00003DAE">
      <w:pPr>
        <w:widowControl w:val="0"/>
        <w:autoSpaceDE w:val="0"/>
        <w:autoSpaceDN w:val="0"/>
        <w:adjustRightInd w:val="0"/>
        <w:jc w:val="both"/>
        <w:outlineLvl w:val="0"/>
        <w:rPr>
          <w:b/>
          <w:sz w:val="18"/>
          <w:szCs w:val="18"/>
        </w:rPr>
      </w:pPr>
      <w:r w:rsidRPr="00003DAE">
        <w:rPr>
          <w:b/>
          <w:sz w:val="18"/>
          <w:szCs w:val="18"/>
        </w:rPr>
        <w:t>Администрация района</w:t>
      </w:r>
      <w:r w:rsidRPr="00003DAE">
        <w:rPr>
          <w:b/>
          <w:sz w:val="18"/>
          <w:szCs w:val="18"/>
        </w:rPr>
        <w:tab/>
      </w:r>
      <w:r w:rsidRPr="00003DAE">
        <w:rPr>
          <w:b/>
          <w:sz w:val="18"/>
          <w:szCs w:val="18"/>
        </w:rPr>
        <w:tab/>
      </w:r>
      <w:r w:rsidRPr="00003DAE">
        <w:rPr>
          <w:b/>
          <w:sz w:val="18"/>
          <w:szCs w:val="18"/>
        </w:rPr>
        <w:tab/>
      </w:r>
      <w:r w:rsidRPr="00003DAE">
        <w:rPr>
          <w:b/>
          <w:sz w:val="18"/>
          <w:szCs w:val="18"/>
        </w:rPr>
        <w:tab/>
        <w:t>Администрация поселения</w:t>
      </w:r>
    </w:p>
    <w:p w:rsidR="00003DAE" w:rsidRPr="00003DAE" w:rsidRDefault="00003DAE" w:rsidP="00003DAE">
      <w:pPr>
        <w:widowControl w:val="0"/>
        <w:autoSpaceDE w:val="0"/>
        <w:autoSpaceDN w:val="0"/>
        <w:adjustRightInd w:val="0"/>
        <w:jc w:val="both"/>
        <w:outlineLvl w:val="0"/>
        <w:rPr>
          <w:b/>
          <w:sz w:val="18"/>
          <w:szCs w:val="18"/>
        </w:rPr>
      </w:pPr>
    </w:p>
    <w:tbl>
      <w:tblPr>
        <w:tblW w:w="0" w:type="auto"/>
        <w:tblLook w:val="01E0" w:firstRow="1" w:lastRow="1" w:firstColumn="1" w:lastColumn="1" w:noHBand="0" w:noVBand="0"/>
      </w:tblPr>
      <w:tblGrid>
        <w:gridCol w:w="5412"/>
        <w:gridCol w:w="4158"/>
      </w:tblGrid>
      <w:tr w:rsidR="00003DAE" w:rsidRPr="00003DAE" w:rsidTr="00003DAE">
        <w:tc>
          <w:tcPr>
            <w:tcW w:w="5495" w:type="dxa"/>
            <w:hideMark/>
          </w:tcPr>
          <w:p w:rsidR="00003DAE" w:rsidRPr="00003DAE" w:rsidRDefault="00003DAE" w:rsidP="00003DAE">
            <w:pPr>
              <w:widowControl w:val="0"/>
              <w:autoSpaceDE w:val="0"/>
              <w:autoSpaceDN w:val="0"/>
              <w:adjustRightInd w:val="0"/>
              <w:rPr>
                <w:b/>
                <w:sz w:val="18"/>
                <w:szCs w:val="18"/>
              </w:rPr>
            </w:pPr>
            <w:r w:rsidRPr="00003DAE">
              <w:rPr>
                <w:b/>
                <w:sz w:val="18"/>
                <w:szCs w:val="18"/>
              </w:rPr>
              <w:t xml:space="preserve">Глава Советского района </w:t>
            </w:r>
          </w:p>
          <w:p w:rsidR="00003DAE" w:rsidRPr="00003DAE" w:rsidRDefault="00003DAE" w:rsidP="00003DAE">
            <w:pPr>
              <w:widowControl w:val="0"/>
              <w:autoSpaceDE w:val="0"/>
              <w:autoSpaceDN w:val="0"/>
              <w:adjustRightInd w:val="0"/>
              <w:rPr>
                <w:b/>
                <w:sz w:val="18"/>
                <w:szCs w:val="18"/>
                <w:u w:val="single"/>
              </w:rPr>
            </w:pPr>
            <w:r w:rsidRPr="00003DAE">
              <w:rPr>
                <w:b/>
                <w:sz w:val="18"/>
                <w:szCs w:val="18"/>
              </w:rPr>
              <w:t xml:space="preserve">Е.И. Буренков </w:t>
            </w:r>
          </w:p>
        </w:tc>
        <w:tc>
          <w:tcPr>
            <w:tcW w:w="4218" w:type="dxa"/>
            <w:hideMark/>
          </w:tcPr>
          <w:p w:rsidR="00003DAE" w:rsidRPr="00003DAE" w:rsidRDefault="00003DAE" w:rsidP="00003DAE">
            <w:pPr>
              <w:widowControl w:val="0"/>
              <w:autoSpaceDE w:val="0"/>
              <w:autoSpaceDN w:val="0"/>
              <w:adjustRightInd w:val="0"/>
              <w:rPr>
                <w:b/>
                <w:sz w:val="18"/>
                <w:szCs w:val="18"/>
              </w:rPr>
            </w:pPr>
            <w:r w:rsidRPr="00003DAE">
              <w:rPr>
                <w:b/>
                <w:sz w:val="18"/>
                <w:szCs w:val="18"/>
              </w:rPr>
              <w:t xml:space="preserve">Глава городского поселения Агириш  Г.А. Крицына </w:t>
            </w:r>
          </w:p>
        </w:tc>
      </w:tr>
    </w:tbl>
    <w:p w:rsidR="00003DAE" w:rsidRPr="00003DAE" w:rsidRDefault="00003DAE" w:rsidP="00003DAE">
      <w:pPr>
        <w:widowControl w:val="0"/>
        <w:autoSpaceDE w:val="0"/>
        <w:autoSpaceDN w:val="0"/>
        <w:adjustRightInd w:val="0"/>
        <w:jc w:val="both"/>
      </w:pPr>
    </w:p>
    <w:p w:rsidR="00D1381B" w:rsidRPr="00024555" w:rsidRDefault="00D1381B"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003DAE" w:rsidP="00D70122">
      <w:pPr>
        <w:pStyle w:val="aa"/>
        <w:widowControl w:val="0"/>
        <w:jc w:val="both"/>
        <w:rPr>
          <w:sz w:val="16"/>
          <w:szCs w:val="16"/>
        </w:rPr>
      </w:pPr>
      <w:r>
        <w:rPr>
          <w:bCs/>
          <w:sz w:val="16"/>
          <w:szCs w:val="16"/>
        </w:rPr>
        <w:t>Телефон: 8(34675) 41-0-7</w:t>
      </w:r>
      <w:bookmarkStart w:id="5" w:name="_GoBack"/>
      <w:bookmarkEnd w:id="5"/>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003DAE">
      <w:headerReference w:type="even"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B9" w:rsidRDefault="003663B9">
      <w:r>
        <w:separator/>
      </w:r>
    </w:p>
  </w:endnote>
  <w:endnote w:type="continuationSeparator" w:id="0">
    <w:p w:rsidR="003663B9" w:rsidRDefault="0036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003DAE">
          <w:rPr>
            <w:noProof/>
          </w:rPr>
          <w:t>2</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B9" w:rsidRDefault="003663B9">
      <w:r>
        <w:separator/>
      </w:r>
    </w:p>
  </w:footnote>
  <w:footnote w:type="continuationSeparator" w:id="0">
    <w:p w:rsidR="003663B9" w:rsidRDefault="0036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36E79764" wp14:editId="6DA7A6D3">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003DAE">
      <w:t>№ 55(787</w:t>
    </w:r>
    <w:r w:rsidR="00B05BB0">
      <w:t>)</w:t>
    </w:r>
    <w:r w:rsidR="00003DAE">
      <w:t xml:space="preserve">  9 августа </w:t>
    </w:r>
    <w:r w:rsidR="00BA2B24">
      <w:t>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1751A4"/>
    <w:multiLevelType w:val="hybridMultilevel"/>
    <w:tmpl w:val="91A27D20"/>
    <w:lvl w:ilvl="0" w:tplc="911089FC">
      <w:start w:val="1"/>
      <w:numFmt w:val="decimal"/>
      <w:lvlText w:val="%1."/>
      <w:lvlJc w:val="left"/>
      <w:pPr>
        <w:tabs>
          <w:tab w:val="num" w:pos="720"/>
        </w:tabs>
        <w:ind w:left="720" w:hanging="720"/>
      </w:pPr>
    </w:lvl>
    <w:lvl w:ilvl="1" w:tplc="946A4E42">
      <w:start w:val="1"/>
      <w:numFmt w:val="decimal"/>
      <w:lvlText w:val="2.%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5A57CD"/>
    <w:multiLevelType w:val="hybridMultilevel"/>
    <w:tmpl w:val="4C8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5"/>
  </w:num>
  <w:num w:numId="4">
    <w:abstractNumId w:val="60"/>
  </w:num>
  <w:num w:numId="5">
    <w:abstractNumId w:val="28"/>
  </w:num>
  <w:num w:numId="6">
    <w:abstractNumId w:val="63"/>
  </w:num>
  <w:num w:numId="7">
    <w:abstractNumId w:val="40"/>
  </w:num>
  <w:num w:numId="8">
    <w:abstractNumId w:val="23"/>
  </w:num>
  <w:num w:numId="9">
    <w:abstractNumId w:val="54"/>
  </w:num>
  <w:num w:numId="10">
    <w:abstractNumId w:val="50"/>
  </w:num>
  <w:num w:numId="11">
    <w:abstractNumId w:val="51"/>
  </w:num>
  <w:num w:numId="12">
    <w:abstractNumId w:val="46"/>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2"/>
  </w:num>
  <w:num w:numId="18">
    <w:abstractNumId w:val="62"/>
  </w:num>
  <w:num w:numId="19">
    <w:abstractNumId w:val="45"/>
  </w:num>
  <w:num w:numId="20">
    <w:abstractNumId w:val="36"/>
  </w:num>
  <w:num w:numId="21">
    <w:abstractNumId w:val="52"/>
  </w:num>
  <w:num w:numId="22">
    <w:abstractNumId w:val="38"/>
  </w:num>
  <w:num w:numId="23">
    <w:abstractNumId w:val="30"/>
  </w:num>
  <w:num w:numId="24">
    <w:abstractNumId w:val="41"/>
  </w:num>
  <w:num w:numId="25">
    <w:abstractNumId w:val="58"/>
  </w:num>
  <w:num w:numId="26">
    <w:abstractNumId w:val="48"/>
  </w:num>
  <w:num w:numId="27">
    <w:abstractNumId w:val="37"/>
  </w:num>
  <w:num w:numId="28">
    <w:abstractNumId w:val="24"/>
  </w:num>
  <w:num w:numId="29">
    <w:abstractNumId w:val="42"/>
  </w:num>
  <w:num w:numId="30">
    <w:abstractNumId w:val="61"/>
  </w:num>
  <w:num w:numId="31">
    <w:abstractNumId w:val="49"/>
  </w:num>
  <w:num w:numId="32">
    <w:abstractNumId w:val="53"/>
  </w:num>
  <w:num w:numId="33">
    <w:abstractNumId w:val="27"/>
  </w:num>
  <w:num w:numId="34">
    <w:abstractNumId w:val="20"/>
  </w:num>
  <w:num w:numId="35">
    <w:abstractNumId w:val="59"/>
  </w:num>
  <w:num w:numId="36">
    <w:abstractNumId w:val="25"/>
  </w:num>
  <w:num w:numId="37">
    <w:abstractNumId w:val="39"/>
  </w:num>
  <w:num w:numId="38">
    <w:abstractNumId w:val="43"/>
  </w:num>
  <w:num w:numId="39">
    <w:abstractNumId w:val="44"/>
  </w:num>
  <w:num w:numId="40">
    <w:abstractNumId w:val="35"/>
  </w:num>
  <w:num w:numId="41">
    <w:abstractNumId w:val="26"/>
  </w:num>
  <w:num w:numId="42">
    <w:abstractNumId w:val="47"/>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3"/>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9D63-E8E3-4B71-9F45-570C2CA5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19</cp:revision>
  <cp:lastPrinted>2015-07-31T09:23:00Z</cp:lastPrinted>
  <dcterms:created xsi:type="dcterms:W3CDTF">2023-05-30T05:31:00Z</dcterms:created>
  <dcterms:modified xsi:type="dcterms:W3CDTF">2023-08-11T06:18:00Z</dcterms:modified>
</cp:coreProperties>
</file>